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108bis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 xml:space="preserve"> </w:t>
      </w:r>
      <w:r>
        <w:rPr>
          <w:rFonts w:hint="eastAsia" w:ascii="Arial" w:hAnsi="Arial" w:cs="Arial"/>
          <w:b/>
          <w:color w:val="auto"/>
          <w:sz w:val="24"/>
          <w:szCs w:val="24"/>
          <w:lang w:val="en-US" w:eastAsia="zh-CN"/>
        </w:rPr>
        <w:t xml:space="preserve">  R4-2315701</w:t>
      </w:r>
      <w:bookmarkStart w:id="8" w:name="_GoBack"/>
      <w:bookmarkEnd w:id="8"/>
    </w:p>
    <w:bookmarkEnd w:id="2"/>
    <w:p>
      <w:pPr>
        <w:pStyle w:val="15"/>
        <w:tabs>
          <w:tab w:val="right" w:pos="10440"/>
          <w:tab w:val="right" w:pos="13323"/>
          <w:tab w:val="clear" w:pos="4680"/>
          <w:tab w:val="clear" w:pos="9360"/>
        </w:tabs>
        <w:spacing w:beforeLines="0" w:afterLines="0"/>
        <w:outlineLvl w:val="0"/>
        <w:rPr>
          <w:b/>
          <w:i/>
          <w:sz w:val="24"/>
        </w:rPr>
      </w:pPr>
      <w:r>
        <w:rPr>
          <w:rFonts w:ascii="Arial" w:hAnsi="Arial" w:eastAsia="宋体" w:cs="Arial"/>
          <w:b/>
          <w:sz w:val="24"/>
          <w:szCs w:val="24"/>
          <w:lang w:eastAsia="zh-CN"/>
        </w:rPr>
        <w:t>Xiamen, China, October 09 – October 13, 2023</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hint="eastAsia" w:ascii="Arial" w:hAnsi="Arial"/>
          <w:b/>
          <w:sz w:val="24"/>
          <w:lang w:val="en-US" w:eastAsia="zh-CN"/>
        </w:rPr>
        <w:t xml:space="preserve">Discussion on demodulation requirement for intra-band </w:t>
      </w:r>
      <w:r>
        <w:rPr>
          <w:rFonts w:hint="eastAsia" w:ascii="Arial" w:hAnsi="Arial"/>
          <w:b/>
          <w:sz w:val="24"/>
          <w:lang w:val="en-US" w:eastAsia="zh-CN"/>
        </w:rPr>
        <w:tab/>
      </w:r>
      <w:r>
        <w:rPr>
          <w:rFonts w:hint="eastAsia" w:ascii="Arial" w:hAnsi="Arial"/>
          <w:b/>
          <w:sz w:val="24"/>
          <w:lang w:val="en-US" w:eastAsia="zh-CN"/>
        </w:rPr>
        <w:t>non-collocated NR-CA</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b/>
          <w:color w:val="FF0000"/>
          <w:lang w:val="en-US"/>
        </w:rPr>
      </w:pPr>
      <w:r>
        <w:rPr>
          <w:rStyle w:val="59"/>
          <w:rFonts w:hint="eastAsia"/>
          <w:b/>
          <w:lang w:val="pt-BR"/>
        </w:rPr>
        <w:t>Agenda item:</w:t>
      </w:r>
      <w:r>
        <w:rPr>
          <w:rStyle w:val="59"/>
          <w:rFonts w:hint="eastAsia"/>
          <w:b/>
          <w:lang w:val="pt-BR"/>
        </w:rPr>
        <w:tab/>
      </w:r>
      <w:r>
        <w:rPr>
          <w:rStyle w:val="59"/>
          <w:rFonts w:hint="eastAsia"/>
          <w:b/>
          <w:color w:val="auto"/>
          <w:lang w:val="en-US" w:eastAsia="zh-CN"/>
        </w:rPr>
        <w:t>5.11.4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default" w:cs="Times New Roman"/>
          <w:sz w:val="20"/>
          <w:lang w:val="en-US" w:eastAsia="zh-CN"/>
        </w:rPr>
      </w:pPr>
      <w:r>
        <w:rPr>
          <w:rFonts w:hint="eastAsia"/>
          <w:sz w:val="20"/>
          <w:lang w:val="en-US" w:eastAsia="zh-CN"/>
        </w:rPr>
        <w:t>A</w:t>
      </w:r>
      <w:r>
        <w:rPr>
          <w:rFonts w:ascii="Times New Roman" w:hAnsi="Times New Roman"/>
          <w:sz w:val="20"/>
        </w:rPr>
        <w:t xml:space="preserve"> </w:t>
      </w:r>
      <w:r>
        <w:rPr>
          <w:rFonts w:hint="eastAsia"/>
          <w:sz w:val="20"/>
          <w:lang w:val="en-US" w:eastAsia="zh-CN"/>
        </w:rPr>
        <w:t>revised</w:t>
      </w:r>
      <w:r>
        <w:rPr>
          <w:rFonts w:ascii="Times New Roman" w:hAnsi="Times New Roman"/>
          <w:sz w:val="20"/>
        </w:rPr>
        <w:t xml:space="preserve"> WI </w:t>
      </w:r>
      <w:r>
        <w:rPr>
          <w:rFonts w:hint="eastAsia"/>
          <w:sz w:val="20"/>
          <w:lang w:val="en-US" w:eastAsia="zh-CN"/>
        </w:rPr>
        <w:t>for</w:t>
      </w:r>
      <w:r>
        <w:rPr>
          <w:rFonts w:ascii="Times New Roman" w:hAnsi="Times New Roman"/>
          <w:sz w:val="20"/>
        </w:rPr>
        <w:t xml:space="preserve"> intra-band non-collocated ENDC/NRCA was approved</w:t>
      </w:r>
      <w:r>
        <w:rPr>
          <w:rFonts w:hint="eastAsia"/>
          <w:sz w:val="20"/>
          <w:lang w:val="en-US" w:eastAsia="zh-CN"/>
        </w:rPr>
        <w:t xml:space="preserve"> i</w:t>
      </w:r>
      <w:r>
        <w:rPr>
          <w:rFonts w:ascii="Times New Roman" w:hAnsi="Times New Roman" w:cs="Times New Roman"/>
          <w:sz w:val="20"/>
          <w:lang w:val="en-GB"/>
        </w:rPr>
        <w:t>n RAN#</w:t>
      </w:r>
      <w:r>
        <w:rPr>
          <w:rFonts w:hint="eastAsia" w:cs="Times New Roman"/>
          <w:sz w:val="20"/>
          <w:lang w:val="en-US" w:eastAsia="zh-CN"/>
        </w:rPr>
        <w:t>100</w:t>
      </w:r>
      <w:r>
        <w:rPr>
          <w:rFonts w:ascii="Times New Roman" w:hAnsi="Times New Roman" w:cs="Times New Roman"/>
          <w:sz w:val="20"/>
          <w:lang w:val="en-GB"/>
        </w:rPr>
        <w:t xml:space="preserve"> meeting</w:t>
      </w:r>
      <w:r>
        <w:rPr>
          <w:rFonts w:ascii="Times New Roman" w:hAnsi="Times New Roman"/>
          <w:sz w:val="20"/>
        </w:rPr>
        <w:t>.</w:t>
      </w:r>
      <w:r>
        <w:rPr>
          <w:rFonts w:ascii="Times New Roman" w:hAnsi="Times New Roman" w:cs="Times New Roman"/>
          <w:sz w:val="20"/>
          <w:lang w:val="en-GB"/>
        </w:rPr>
        <w:t xml:space="preserve"> In RAN4</w:t>
      </w:r>
      <w:r>
        <w:rPr>
          <w:rFonts w:hint="eastAsia" w:cs="Times New Roman"/>
          <w:sz w:val="20"/>
          <w:lang w:val="en-US" w:eastAsia="zh-CN"/>
        </w:rPr>
        <w:t xml:space="preserve"> </w:t>
      </w:r>
      <w:r>
        <w:rPr>
          <w:rFonts w:ascii="Times New Roman" w:hAnsi="Times New Roman" w:cs="Times New Roman"/>
          <w:sz w:val="20"/>
          <w:lang w:val="en-GB"/>
        </w:rPr>
        <w:t>#</w:t>
      </w:r>
      <w:r>
        <w:rPr>
          <w:rFonts w:hint="eastAsia" w:cs="Times New Roman"/>
          <w:sz w:val="20"/>
          <w:lang w:val="en-US" w:eastAsia="zh-CN"/>
        </w:rPr>
        <w:t xml:space="preserve"> </w:t>
      </w:r>
      <w:r>
        <w:rPr>
          <w:rFonts w:ascii="Times New Roman" w:hAnsi="Times New Roman" w:cs="Times New Roman"/>
          <w:sz w:val="20"/>
          <w:lang w:val="en-GB"/>
        </w:rPr>
        <w:t>10</w:t>
      </w:r>
      <w:r>
        <w:rPr>
          <w:rFonts w:hint="eastAsia" w:cs="Times New Roman"/>
          <w:sz w:val="20"/>
          <w:lang w:val="en-US" w:eastAsia="zh-CN"/>
        </w:rPr>
        <w:t>8</w:t>
      </w:r>
      <w:r>
        <w:rPr>
          <w:rFonts w:ascii="Times New Roman" w:hAnsi="Times New Roman" w:cs="Times New Roman"/>
          <w:sz w:val="20"/>
          <w:lang w:val="en-GB"/>
        </w:rPr>
        <w:t xml:space="preserve"> meeting, </w:t>
      </w:r>
      <w:r>
        <w:rPr>
          <w:rFonts w:hint="eastAsia" w:cs="Times New Roman"/>
          <w:sz w:val="20"/>
          <w:lang w:val="en-US" w:eastAsia="zh-CN"/>
        </w:rPr>
        <w:t>the test setup and some parameters were reached while the MCSes for 2 CCs are still not reached which are listed below</w:t>
      </w:r>
      <w:r>
        <w:rPr>
          <w:rFonts w:hint="eastAsia" w:cs="Times New Roman"/>
          <w:sz w:val="20"/>
          <w:vertAlign w:val="superscript"/>
          <w:lang w:val="en-US" w:eastAsia="zh-CN"/>
        </w:rPr>
        <w:t>[1]</w:t>
      </w:r>
      <w:r>
        <w:rPr>
          <w:rFonts w:hint="eastAsia" w:cs="Times New Roman"/>
          <w:sz w:val="20"/>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lang w:eastAsia="ko-KR"/>
              </w:rPr>
            </w:pPr>
            <w:r>
              <w:rPr>
                <w:b/>
                <w:u w:val="single"/>
                <w:lang w:eastAsia="ko-KR"/>
              </w:rPr>
              <w:t>MCS pair and SNR test point pair</w:t>
            </w:r>
          </w:p>
          <w:p>
            <w:pPr>
              <w:overflowPunct w:val="0"/>
              <w:autoSpaceDE w:val="0"/>
              <w:autoSpaceDN w:val="0"/>
              <w:adjustRightInd w:val="0"/>
              <w:spacing w:after="180"/>
              <w:textAlignment w:val="baseline"/>
              <w:rPr>
                <w:lang w:eastAsia="zh-CN"/>
              </w:rPr>
            </w:pPr>
            <w:r>
              <w:rPr>
                <w:b/>
                <w:lang w:eastAsia="zh-CN"/>
              </w:rPr>
              <w:t>Way forward</w:t>
            </w:r>
            <w:r>
              <w:rPr>
                <w:lang w:eastAsia="zh-CN"/>
              </w:rPr>
              <w:t xml:space="preserve">: Interested companies are encouraged to bring the simulation results in RANM4#108bis to decide the MCS index pair and corresponding SNR test point pair according to the agreed test setup and test metrics. </w:t>
            </w:r>
          </w:p>
          <w:p>
            <w:pPr>
              <w:overflowPunct w:val="0"/>
              <w:autoSpaceDE w:val="0"/>
              <w:autoSpaceDN w:val="0"/>
              <w:adjustRightInd w:val="0"/>
              <w:spacing w:after="180"/>
              <w:textAlignment w:val="baseline"/>
              <w:rPr>
                <w:lang w:eastAsia="zh-CN"/>
              </w:rPr>
            </w:pPr>
            <w:r>
              <w:rPr>
                <w:lang w:eastAsia="zh-CN"/>
              </w:rPr>
              <w:t xml:space="preserve">Note the required SNR difference between the carriers with lower power and higher power should not exceed 25dB.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2"/>
              <w:gridCol w:w="2332"/>
              <w:gridCol w:w="2315"/>
              <w:gridCol w:w="2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tcPr>
                <w:p>
                  <w:pPr>
                    <w:overflowPunct w:val="0"/>
                    <w:autoSpaceDE w:val="0"/>
                    <w:autoSpaceDN w:val="0"/>
                    <w:adjustRightInd w:val="0"/>
                    <w:spacing w:after="180"/>
                    <w:textAlignment w:val="baseline"/>
                    <w:rPr>
                      <w:b/>
                      <w:bCs/>
                      <w:lang w:eastAsia="zh-CN"/>
                    </w:rPr>
                  </w:pPr>
                </w:p>
              </w:tc>
              <w:tc>
                <w:tcPr>
                  <w:tcW w:w="2332" w:type="dxa"/>
                </w:tcPr>
                <w:p>
                  <w:pPr>
                    <w:overflowPunct w:val="0"/>
                    <w:autoSpaceDE w:val="0"/>
                    <w:autoSpaceDN w:val="0"/>
                    <w:adjustRightInd w:val="0"/>
                    <w:spacing w:after="180"/>
                    <w:textAlignment w:val="baseline"/>
                    <w:rPr>
                      <w:b/>
                      <w:bCs/>
                      <w:lang w:eastAsia="zh-CN"/>
                    </w:rPr>
                  </w:pPr>
                  <w:r>
                    <w:rPr>
                      <w:b/>
                      <w:bCs/>
                      <w:lang w:eastAsia="zh-CN"/>
                    </w:rPr>
                    <w:t>Tx antenna and rank</w:t>
                  </w:r>
                </w:p>
              </w:tc>
              <w:tc>
                <w:tcPr>
                  <w:tcW w:w="2315" w:type="dxa"/>
                </w:tcPr>
                <w:p>
                  <w:pPr>
                    <w:overflowPunct w:val="0"/>
                    <w:autoSpaceDE w:val="0"/>
                    <w:autoSpaceDN w:val="0"/>
                    <w:adjustRightInd w:val="0"/>
                    <w:spacing w:after="180"/>
                    <w:textAlignment w:val="baseline"/>
                    <w:rPr>
                      <w:b/>
                      <w:bCs/>
                      <w:lang w:eastAsia="zh-CN"/>
                    </w:rPr>
                  </w:pPr>
                  <w:r>
                    <w:rPr>
                      <w:b/>
                      <w:bCs/>
                      <w:lang w:eastAsia="zh-CN"/>
                    </w:rPr>
                    <w:t>MCS table</w:t>
                  </w:r>
                </w:p>
              </w:tc>
              <w:tc>
                <w:tcPr>
                  <w:tcW w:w="2771" w:type="dxa"/>
                </w:tcPr>
                <w:p>
                  <w:pPr>
                    <w:overflowPunct w:val="0"/>
                    <w:autoSpaceDE w:val="0"/>
                    <w:autoSpaceDN w:val="0"/>
                    <w:adjustRightInd w:val="0"/>
                    <w:spacing w:after="180"/>
                    <w:textAlignment w:val="baseline"/>
                    <w:rPr>
                      <w:b/>
                      <w:bCs/>
                      <w:lang w:eastAsia="zh-CN"/>
                    </w:rPr>
                  </w:pPr>
                  <w:r>
                    <w:rPr>
                      <w:b/>
                      <w:bCs/>
                      <w:lang w:eastAsia="zh-CN"/>
                    </w:rPr>
                    <w:t>Test metric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tcPr>
                <w:p>
                  <w:pPr>
                    <w:overflowPunct w:val="0"/>
                    <w:autoSpaceDE w:val="0"/>
                    <w:autoSpaceDN w:val="0"/>
                    <w:adjustRightInd w:val="0"/>
                    <w:spacing w:after="180"/>
                    <w:textAlignment w:val="baseline"/>
                    <w:rPr>
                      <w:lang w:eastAsia="zh-CN"/>
                    </w:rPr>
                  </w:pPr>
                  <w:r>
                    <w:rPr>
                      <w:lang w:eastAsia="zh-CN"/>
                    </w:rPr>
                    <w:t>Carrier with lower power</w:t>
                  </w:r>
                </w:p>
              </w:tc>
              <w:tc>
                <w:tcPr>
                  <w:tcW w:w="2332" w:type="dxa"/>
                </w:tcPr>
                <w:p>
                  <w:pPr>
                    <w:overflowPunct w:val="0"/>
                    <w:autoSpaceDE w:val="0"/>
                    <w:autoSpaceDN w:val="0"/>
                    <w:adjustRightInd w:val="0"/>
                    <w:spacing w:after="180"/>
                    <w:textAlignment w:val="baseline"/>
                    <w:rPr>
                      <w:lang w:eastAsia="zh-CN"/>
                    </w:rPr>
                  </w:pPr>
                  <w:r>
                    <w:rPr>
                      <w:lang w:eastAsia="zh-CN"/>
                    </w:rPr>
                    <w:t>Option 1: 2Tx, Rank 2</w:t>
                  </w:r>
                </w:p>
                <w:p>
                  <w:pPr>
                    <w:overflowPunct w:val="0"/>
                    <w:autoSpaceDE w:val="0"/>
                    <w:autoSpaceDN w:val="0"/>
                    <w:adjustRightInd w:val="0"/>
                    <w:spacing w:after="180"/>
                    <w:textAlignment w:val="baseline"/>
                    <w:rPr>
                      <w:lang w:eastAsia="zh-CN"/>
                    </w:rPr>
                  </w:pPr>
                  <w:r>
                    <w:rPr>
                      <w:lang w:eastAsia="zh-CN"/>
                    </w:rPr>
                    <w:t>Option 2: 1Tx, Rank 1</w:t>
                  </w:r>
                </w:p>
              </w:tc>
              <w:tc>
                <w:tcPr>
                  <w:tcW w:w="2315" w:type="dxa"/>
                </w:tcPr>
                <w:p>
                  <w:pPr>
                    <w:overflowPunct w:val="0"/>
                    <w:autoSpaceDE w:val="0"/>
                    <w:autoSpaceDN w:val="0"/>
                    <w:adjustRightInd w:val="0"/>
                    <w:spacing w:after="180"/>
                    <w:textAlignment w:val="baseline"/>
                    <w:rPr>
                      <w:lang w:eastAsia="zh-CN"/>
                    </w:rPr>
                  </w:pPr>
                  <w:r>
                    <w:rPr>
                      <w:lang w:eastAsia="zh-CN"/>
                    </w:rPr>
                    <w:t>Option 1: MCS index 1</w:t>
                  </w:r>
                </w:p>
                <w:p>
                  <w:pPr>
                    <w:overflowPunct w:val="0"/>
                    <w:autoSpaceDE w:val="0"/>
                    <w:autoSpaceDN w:val="0"/>
                    <w:adjustRightInd w:val="0"/>
                    <w:spacing w:after="180"/>
                    <w:textAlignment w:val="baseline"/>
                    <w:rPr>
                      <w:lang w:eastAsia="zh-CN"/>
                    </w:rPr>
                  </w:pPr>
                  <w:r>
                    <w:rPr>
                      <w:lang w:eastAsia="zh-CN"/>
                    </w:rPr>
                    <w:t>Option 2: MCS index 2</w:t>
                  </w:r>
                </w:p>
              </w:tc>
              <w:tc>
                <w:tcPr>
                  <w:tcW w:w="2771" w:type="dxa"/>
                </w:tcPr>
                <w:p>
                  <w:pPr>
                    <w:overflowPunct w:val="0"/>
                    <w:autoSpaceDE w:val="0"/>
                    <w:autoSpaceDN w:val="0"/>
                    <w:adjustRightInd w:val="0"/>
                    <w:spacing w:after="180"/>
                    <w:textAlignment w:val="baseline"/>
                    <w:rPr>
                      <w:lang w:eastAsia="zh-CN"/>
                    </w:rPr>
                  </w:pPr>
                  <w:r>
                    <w:rPr>
                      <w:szCs w:val="24"/>
                      <w:lang w:eastAsia="zh-CN"/>
                    </w:rPr>
                    <w:t>70% of the maximum throughput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2" w:type="dxa"/>
                </w:tcPr>
                <w:p>
                  <w:pPr>
                    <w:overflowPunct w:val="0"/>
                    <w:autoSpaceDE w:val="0"/>
                    <w:autoSpaceDN w:val="0"/>
                    <w:adjustRightInd w:val="0"/>
                    <w:spacing w:after="180"/>
                    <w:textAlignment w:val="baseline"/>
                    <w:rPr>
                      <w:lang w:eastAsia="zh-CN"/>
                    </w:rPr>
                  </w:pPr>
                  <w:r>
                    <w:rPr>
                      <w:lang w:eastAsia="zh-CN"/>
                    </w:rPr>
                    <w:t>Carrier with higher power</w:t>
                  </w:r>
                </w:p>
              </w:tc>
              <w:tc>
                <w:tcPr>
                  <w:tcW w:w="2332" w:type="dxa"/>
                </w:tcPr>
                <w:p>
                  <w:pPr>
                    <w:overflowPunct w:val="0"/>
                    <w:autoSpaceDE w:val="0"/>
                    <w:autoSpaceDN w:val="0"/>
                    <w:adjustRightInd w:val="0"/>
                    <w:spacing w:after="180"/>
                    <w:textAlignment w:val="baseline"/>
                    <w:rPr>
                      <w:lang w:eastAsia="zh-CN"/>
                    </w:rPr>
                  </w:pPr>
                  <w:r>
                    <w:rPr>
                      <w:lang w:eastAsia="zh-CN"/>
                    </w:rPr>
                    <w:t>Option 1: 2Tx, Rank 2</w:t>
                  </w:r>
                </w:p>
                <w:p>
                  <w:pPr>
                    <w:overflowPunct w:val="0"/>
                    <w:autoSpaceDE w:val="0"/>
                    <w:autoSpaceDN w:val="0"/>
                    <w:adjustRightInd w:val="0"/>
                    <w:spacing w:after="180"/>
                    <w:textAlignment w:val="baseline"/>
                    <w:rPr>
                      <w:lang w:eastAsia="zh-CN"/>
                    </w:rPr>
                  </w:pPr>
                  <w:r>
                    <w:rPr>
                      <w:lang w:eastAsia="zh-CN"/>
                    </w:rPr>
                    <w:t>Option 2: 1Tx, Rank 1</w:t>
                  </w:r>
                </w:p>
              </w:tc>
              <w:tc>
                <w:tcPr>
                  <w:tcW w:w="2315" w:type="dxa"/>
                </w:tcPr>
                <w:p>
                  <w:pPr>
                    <w:overflowPunct w:val="0"/>
                    <w:autoSpaceDE w:val="0"/>
                    <w:autoSpaceDN w:val="0"/>
                    <w:adjustRightInd w:val="0"/>
                    <w:spacing w:after="180"/>
                    <w:textAlignment w:val="baseline"/>
                    <w:rPr>
                      <w:lang w:eastAsia="zh-CN"/>
                    </w:rPr>
                  </w:pPr>
                  <w:r>
                    <w:rPr>
                      <w:lang w:eastAsia="zh-CN"/>
                    </w:rPr>
                    <w:t>Option 1: MCS index 1</w:t>
                  </w:r>
                </w:p>
                <w:p>
                  <w:pPr>
                    <w:overflowPunct w:val="0"/>
                    <w:autoSpaceDE w:val="0"/>
                    <w:autoSpaceDN w:val="0"/>
                    <w:adjustRightInd w:val="0"/>
                    <w:spacing w:after="180"/>
                    <w:textAlignment w:val="baseline"/>
                    <w:rPr>
                      <w:lang w:eastAsia="zh-CN"/>
                    </w:rPr>
                  </w:pPr>
                  <w:r>
                    <w:rPr>
                      <w:lang w:eastAsia="zh-CN"/>
                    </w:rPr>
                    <w:t>Option 2: MCS index 2</w:t>
                  </w:r>
                </w:p>
              </w:tc>
              <w:tc>
                <w:tcPr>
                  <w:tcW w:w="2771" w:type="dxa"/>
                </w:tcPr>
                <w:p>
                  <w:pPr>
                    <w:overflowPunct w:val="0"/>
                    <w:autoSpaceDE w:val="0"/>
                    <w:autoSpaceDN w:val="0"/>
                    <w:adjustRightInd w:val="0"/>
                    <w:spacing w:after="180"/>
                    <w:textAlignment w:val="baseline"/>
                    <w:rPr>
                      <w:lang w:eastAsia="zh-CN"/>
                    </w:rPr>
                  </w:pPr>
                  <w:r>
                    <w:rPr>
                      <w:szCs w:val="24"/>
                      <w:lang w:eastAsia="zh-CN"/>
                    </w:rPr>
                    <w:t>70% of the maximum throughput</w:t>
                  </w:r>
                </w:p>
              </w:tc>
            </w:tr>
          </w:tbl>
          <w:p>
            <w:pPr>
              <w:pStyle w:val="33"/>
              <w:numPr>
                <w:ilvl w:val="0"/>
                <w:numId w:val="0"/>
              </w:numPr>
              <w:overflowPunct w:val="0"/>
              <w:autoSpaceDE w:val="0"/>
              <w:autoSpaceDN w:val="0"/>
              <w:adjustRightInd w:val="0"/>
              <w:spacing w:after="120" w:afterLines="50"/>
              <w:textAlignment w:val="baseline"/>
              <w:rPr>
                <w:lang w:val="en-US"/>
              </w:rPr>
            </w:pPr>
          </w:p>
          <w:p>
            <w:pPr>
              <w:overflowPunct w:val="0"/>
              <w:autoSpaceDE w:val="0"/>
              <w:autoSpaceDN w:val="0"/>
              <w:adjustRightInd w:val="0"/>
              <w:spacing w:after="180"/>
              <w:textAlignment w:val="baseline"/>
              <w:rPr>
                <w:b/>
                <w:u w:val="single"/>
                <w:lang w:eastAsia="ko-KR"/>
              </w:rPr>
            </w:pPr>
            <w:r>
              <w:rPr>
                <w:b/>
                <w:u w:val="single"/>
                <w:lang w:eastAsia="ko-KR"/>
              </w:rPr>
              <w:t>Other parameter configurations</w:t>
            </w:r>
          </w:p>
          <w:p>
            <w:pPr>
              <w:overflowPunct w:val="0"/>
              <w:autoSpaceDE w:val="0"/>
              <w:autoSpaceDN w:val="0"/>
              <w:adjustRightInd w:val="0"/>
              <w:spacing w:after="180"/>
              <w:textAlignment w:val="baseline"/>
              <w:rPr>
                <w:lang w:eastAsia="zh-CN"/>
              </w:rPr>
            </w:pPr>
            <w:r>
              <w:rPr>
                <w:b/>
                <w:lang w:eastAsia="zh-CN"/>
              </w:rPr>
              <w:t>Agreement</w:t>
            </w:r>
            <w:r>
              <w:rPr>
                <w:lang w:eastAsia="zh-CN"/>
              </w:rPr>
              <w:t>:</w:t>
            </w:r>
          </w:p>
          <w:p>
            <w:pPr>
              <w:pStyle w:val="46"/>
              <w:numPr>
                <w:ilvl w:val="0"/>
                <w:numId w:val="7"/>
              </w:numPr>
              <w:overflowPunct w:val="0"/>
              <w:autoSpaceDE w:val="0"/>
              <w:autoSpaceDN w:val="0"/>
              <w:adjustRightInd w:val="0"/>
              <w:spacing w:after="180"/>
              <w:textAlignment w:val="baseline"/>
              <w:rPr>
                <w:lang w:eastAsia="zh-CN"/>
              </w:rPr>
            </w:pPr>
            <w:r>
              <w:rPr>
                <w:lang w:eastAsia="zh-CN"/>
              </w:rPr>
              <w:t>Reusing test set-up from existing CA demodulation requirements for TRS and SSB configuration.</w:t>
            </w:r>
          </w:p>
          <w:p>
            <w:pPr>
              <w:pStyle w:val="46"/>
              <w:numPr>
                <w:ilvl w:val="0"/>
                <w:numId w:val="7"/>
              </w:numPr>
              <w:overflowPunct w:val="0"/>
              <w:autoSpaceDE w:val="0"/>
              <w:autoSpaceDN w:val="0"/>
              <w:adjustRightInd w:val="0"/>
              <w:spacing w:after="180"/>
              <w:textAlignment w:val="baseline"/>
              <w:rPr>
                <w:lang w:eastAsia="zh-CN"/>
              </w:rPr>
            </w:pPr>
            <w:r>
              <w:rPr>
                <w:lang w:eastAsia="zh-CN"/>
              </w:rPr>
              <w:t>Configure 33us received time difference (RTD) between PCell and 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9"/>
              <w:gridCol w:w="4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p>
              </w:tc>
              <w:tc>
                <w:tcPr>
                  <w:tcW w:w="5229" w:type="dxa"/>
                </w:tcPr>
                <w:p>
                  <w:pPr>
                    <w:pStyle w:val="46"/>
                    <w:overflowPunct w:val="0"/>
                    <w:autoSpaceDE w:val="0"/>
                    <w:autoSpaceDN w:val="0"/>
                    <w:adjustRightInd w:val="0"/>
                    <w:spacing w:after="180"/>
                    <w:ind w:left="0" w:firstLine="0"/>
                    <w:textAlignment w:val="baseline"/>
                    <w:rPr>
                      <w:lang w:eastAsia="zh-CN"/>
                    </w:rPr>
                  </w:pPr>
                  <w:r>
                    <w:rPr>
                      <w:b/>
                      <w:bCs/>
                      <w:szCs w:val="24"/>
                      <w:lang w:val="en-US" w:eastAsia="zh-CN"/>
                    </w:rPr>
                    <w:t>Type 2 UE NR-CA demodulation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Received power difference</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Received time difference</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33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Channel model</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Maximum number of HARQ transmission</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Signal/Noise setting</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Set both Es and Noc to set SNR test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Throughput measurement procedure</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 xml:space="preserve">Measure both carriers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Tx antenna configuration and rank</w:t>
                  </w:r>
                </w:p>
              </w:tc>
              <w:tc>
                <w:tcPr>
                  <w:tcW w:w="5229" w:type="dxa"/>
                </w:tcPr>
                <w:p>
                  <w:pPr>
                    <w:overflowPunct w:val="0"/>
                    <w:autoSpaceDE w:val="0"/>
                    <w:autoSpaceDN w:val="0"/>
                    <w:adjustRightInd w:val="0"/>
                    <w:spacing w:after="120"/>
                    <w:textAlignment w:val="baseline"/>
                    <w:rPr>
                      <w:szCs w:val="24"/>
                      <w:lang w:eastAsia="zh-CN"/>
                    </w:rPr>
                  </w:pPr>
                  <w:r>
                    <w:rPr>
                      <w:szCs w:val="24"/>
                      <w:lang w:eastAsia="zh-CN"/>
                    </w:rPr>
                    <w:t xml:space="preserve">Option1: </w:t>
                  </w:r>
                </w:p>
                <w:p>
                  <w:pPr>
                    <w:overflowPunct w:val="0"/>
                    <w:autoSpaceDE w:val="0"/>
                    <w:autoSpaceDN w:val="0"/>
                    <w:adjustRightInd w:val="0"/>
                    <w:spacing w:after="120"/>
                    <w:textAlignment w:val="baseline"/>
                    <w:rPr>
                      <w:szCs w:val="24"/>
                      <w:lang w:eastAsia="zh-CN"/>
                    </w:rPr>
                  </w:pPr>
                  <w:r>
                    <w:rPr>
                      <w:szCs w:val="24"/>
                      <w:lang w:eastAsia="zh-CN"/>
                    </w:rPr>
                    <w:t>2Tx, rank2 for both carriers</w:t>
                  </w:r>
                </w:p>
                <w:p>
                  <w:pPr>
                    <w:overflowPunct w:val="0"/>
                    <w:autoSpaceDE w:val="0"/>
                    <w:autoSpaceDN w:val="0"/>
                    <w:adjustRightInd w:val="0"/>
                    <w:spacing w:after="120"/>
                    <w:textAlignment w:val="baseline"/>
                    <w:rPr>
                      <w:szCs w:val="24"/>
                      <w:lang w:eastAsia="zh-CN"/>
                    </w:rPr>
                  </w:pPr>
                  <w:r>
                    <w:rPr>
                      <w:szCs w:val="24"/>
                      <w:lang w:eastAsia="zh-CN"/>
                    </w:rPr>
                    <w:t xml:space="preserve">Option 2: </w:t>
                  </w:r>
                </w:p>
                <w:p>
                  <w:pPr>
                    <w:overflowPunct w:val="0"/>
                    <w:autoSpaceDE w:val="0"/>
                    <w:autoSpaceDN w:val="0"/>
                    <w:adjustRightInd w:val="0"/>
                    <w:spacing w:after="120"/>
                    <w:textAlignment w:val="baseline"/>
                    <w:rPr>
                      <w:szCs w:val="24"/>
                      <w:lang w:eastAsia="zh-CN"/>
                    </w:rPr>
                  </w:pPr>
                  <w:r>
                    <w:rPr>
                      <w:szCs w:val="24"/>
                      <w:lang w:eastAsia="zh-CN"/>
                    </w:rPr>
                    <w:t>1Tx with rank1 for carrier with lower power</w:t>
                  </w:r>
                </w:p>
                <w:p>
                  <w:pPr>
                    <w:overflowPunct w:val="0"/>
                    <w:autoSpaceDE w:val="0"/>
                    <w:autoSpaceDN w:val="0"/>
                    <w:adjustRightInd w:val="0"/>
                    <w:spacing w:after="120"/>
                    <w:textAlignment w:val="baseline"/>
                    <w:rPr>
                      <w:szCs w:val="24"/>
                      <w:lang w:eastAsia="zh-CN"/>
                    </w:rPr>
                  </w:pPr>
                  <w:r>
                    <w:rPr>
                      <w:szCs w:val="24"/>
                      <w:lang w:eastAsia="zh-CN"/>
                    </w:rPr>
                    <w:t>2Tx with rank2 for another carrier</w:t>
                  </w:r>
                </w:p>
                <w:p>
                  <w:pPr>
                    <w:pStyle w:val="46"/>
                    <w:overflowPunct w:val="0"/>
                    <w:autoSpaceDE w:val="0"/>
                    <w:autoSpaceDN w:val="0"/>
                    <w:adjustRightInd w:val="0"/>
                    <w:spacing w:after="180"/>
                    <w:ind w:left="0" w:firstLine="0"/>
                    <w:textAlignment w:val="baseline"/>
                    <w:rPr>
                      <w:lang w:eastAsia="zh-CN"/>
                    </w:rPr>
                  </w:pPr>
                  <w:r>
                    <w:rPr>
                      <w:szCs w:val="24"/>
                      <w:lang w:eastAsia="zh-CN"/>
                    </w:rPr>
                    <w:t>Option 3: rank 1 for both carriers with 1Tx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MCS table and MCS index</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 xml:space="preserve">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28" w:type="dxa"/>
                </w:tcPr>
                <w:p>
                  <w:pPr>
                    <w:pStyle w:val="46"/>
                    <w:overflowPunct w:val="0"/>
                    <w:autoSpaceDE w:val="0"/>
                    <w:autoSpaceDN w:val="0"/>
                    <w:adjustRightInd w:val="0"/>
                    <w:spacing w:after="180"/>
                    <w:ind w:left="0" w:firstLine="0"/>
                    <w:textAlignment w:val="baseline"/>
                    <w:rPr>
                      <w:lang w:eastAsia="zh-CN"/>
                    </w:rPr>
                  </w:pPr>
                  <w:r>
                    <w:rPr>
                      <w:szCs w:val="24"/>
                      <w:lang w:eastAsia="zh-CN"/>
                    </w:rPr>
                    <w:t>Test metric</w:t>
                  </w:r>
                </w:p>
              </w:tc>
              <w:tc>
                <w:tcPr>
                  <w:tcW w:w="5229" w:type="dxa"/>
                </w:tcPr>
                <w:p>
                  <w:pPr>
                    <w:pStyle w:val="46"/>
                    <w:overflowPunct w:val="0"/>
                    <w:autoSpaceDE w:val="0"/>
                    <w:autoSpaceDN w:val="0"/>
                    <w:adjustRightInd w:val="0"/>
                    <w:spacing w:after="180"/>
                    <w:ind w:left="0" w:firstLine="0"/>
                    <w:textAlignment w:val="baseline"/>
                    <w:rPr>
                      <w:lang w:eastAsia="zh-CN"/>
                    </w:rPr>
                  </w:pPr>
                  <w:r>
                    <w:rPr>
                      <w:szCs w:val="24"/>
                      <w:lang w:eastAsia="zh-CN"/>
                    </w:rPr>
                    <w:t>70% of the maximum throughput</w:t>
                  </w:r>
                </w:p>
              </w:tc>
            </w:tr>
          </w:tbl>
          <w:p>
            <w:pPr>
              <w:pStyle w:val="33"/>
              <w:numPr>
                <w:ilvl w:val="0"/>
                <w:numId w:val="0"/>
              </w:numPr>
              <w:overflowPunct w:val="0"/>
              <w:autoSpaceDE w:val="0"/>
              <w:autoSpaceDN w:val="0"/>
              <w:adjustRightInd w:val="0"/>
              <w:spacing w:after="120" w:afterLines="50"/>
              <w:textAlignment w:val="baseline"/>
              <w:rPr>
                <w:lang w:val="en-US"/>
              </w:rPr>
            </w:pPr>
          </w:p>
          <w:p>
            <w:pPr>
              <w:pStyle w:val="33"/>
              <w:numPr>
                <w:ilvl w:val="0"/>
                <w:numId w:val="0"/>
              </w:numPr>
              <w:overflowPunct w:val="0"/>
              <w:autoSpaceDE w:val="0"/>
              <w:autoSpaceDN w:val="0"/>
              <w:adjustRightInd w:val="0"/>
              <w:spacing w:after="120" w:afterLines="50"/>
              <w:textAlignment w:val="baseline"/>
              <w:rPr>
                <w:lang w:val="en-US"/>
              </w:rPr>
            </w:pPr>
          </w:p>
        </w:tc>
      </w:tr>
    </w:tbl>
    <w:p>
      <w:pPr>
        <w:widowControl w:val="0"/>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In this contribution, we give our view points about the MCS selection and the simulation results with updated simulation assumption.</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eastAsia"/>
          <w:lang w:val="en-US" w:eastAsia="zh-CN"/>
        </w:rPr>
      </w:pPr>
      <w:bookmarkStart w:id="4" w:name="OLE_LINK66"/>
      <w:bookmarkStart w:id="5" w:name="OLE_LINK23"/>
      <w:bookmarkStart w:id="6" w:name="OLE_LINK6"/>
      <w:bookmarkStart w:id="7" w:name="OLE_LINK41"/>
      <w:r>
        <w:rPr>
          <w:rFonts w:hint="eastAsia"/>
          <w:lang w:val="en-US" w:eastAsia="zh-CN"/>
        </w:rPr>
        <w:t>As demodulation requirements of Type 2 UE is to be introduced, the antenna configuration needs to be discussed.</w:t>
      </w:r>
    </w:p>
    <w:p>
      <w:pPr>
        <w:pStyle w:val="62"/>
        <w:keepLines w:val="0"/>
        <w:widowControl w:val="0"/>
        <w:spacing w:before="120" w:after="120"/>
        <w:ind w:left="0" w:firstLine="0"/>
        <w:rPr>
          <w:rFonts w:hint="default"/>
          <w:lang w:val="en-US" w:eastAsia="zh-CN"/>
        </w:rPr>
      </w:pPr>
      <w:r>
        <w:rPr>
          <w:rFonts w:hint="eastAsia"/>
          <w:lang w:val="en-US" w:eastAsia="zh-CN"/>
        </w:rPr>
        <w:t>The options reached in the last meeting regarding antenna configuration include 1Tx 2Rx and 2Tx 2Rx. As Type 2 UE can support 2 Rx per CC, so 2Tx antenna configuration can verify performance of 2-layer MIMO transmission. One issue related to antenna configuration is the channel model, the channel model given in the WF last meeting is AWGN. With regard to AWGN, different companies may have different understandings. For example, some companies may understand it as a channel matrix of all 1, while others may understand it as a static channel defined in B.1.1 in TS 38.101-4.</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1. To confirm that the AWGN channel model in the WF last meeting means the static channel model defined in B.1.1 in TS 38.101-4.</w:t>
      </w:r>
    </w:p>
    <w:p>
      <w:pPr>
        <w:pStyle w:val="62"/>
        <w:keepLines w:val="0"/>
        <w:widowControl w:val="0"/>
        <w:spacing w:before="120" w:after="120"/>
        <w:ind w:left="0" w:firstLine="0"/>
        <w:rPr>
          <w:rFonts w:hint="eastAsia"/>
          <w:lang w:val="en-US" w:eastAsia="zh-CN"/>
        </w:rPr>
      </w:pPr>
      <w:r>
        <w:rPr>
          <w:rFonts w:hint="eastAsia"/>
          <w:lang w:val="en-US" w:eastAsia="zh-CN"/>
        </w:rPr>
        <w:t>If 2Tx is considered and if the static channel model of rank 2 with equal power for each layer, demodulation requirements of 2 layer transmission can be considered.</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2. To consider option1 for Tx antenna configuration and rank .</w:t>
      </w:r>
    </w:p>
    <w:p>
      <w:pPr>
        <w:pStyle w:val="62"/>
        <w:keepLines w:val="0"/>
        <w:widowControl w:val="0"/>
        <w:spacing w:before="120" w:after="120"/>
        <w:ind w:left="0" w:firstLine="0"/>
        <w:rPr>
          <w:rFonts w:hint="eastAsia"/>
          <w:lang w:val="en-US" w:eastAsia="zh-CN"/>
        </w:rPr>
      </w:pPr>
      <w:r>
        <w:rPr>
          <w:rFonts w:hint="eastAsia"/>
          <w:lang w:val="en-US" w:eastAsia="zh-CN"/>
        </w:rPr>
        <w:t>Two MCS table with lower modulation order are listed as below from which we can see that the MCS of QPSK in table2 is a subset of that of table1.</w:t>
      </w:r>
      <w:r>
        <w:rPr>
          <w:rFonts w:hint="eastAsia"/>
          <w:lang w:val="en-US" w:eastAsia="zh-CN"/>
        </w:rPr>
        <w:br w:type="page"/>
      </w:r>
    </w:p>
    <w:p>
      <w:pPr>
        <w:pStyle w:val="62"/>
        <w:keepLines w:val="0"/>
        <w:widowControl w:val="0"/>
        <w:spacing w:before="120" w:after="120"/>
        <w:ind w:left="0" w:firstLine="0"/>
        <w:jc w:val="center"/>
        <w:rPr>
          <w:rFonts w:hint="default"/>
          <w:b/>
          <w:bCs/>
          <w:lang w:val="en-US" w:eastAsia="zh-CN"/>
        </w:rPr>
      </w:pPr>
      <w:r>
        <w:rPr>
          <w:rFonts w:hint="eastAsia"/>
          <w:b/>
          <w:bCs/>
          <w:lang w:val="en-US" w:eastAsia="zh-CN"/>
        </w:rPr>
        <w:t>Table 2-1 Sub-set of MCS index from table 1 and table 2 with QPSK modulation order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55"/>
              <w:pageBreakBefore w:val="0"/>
              <w:kinsoku/>
              <w:wordWrap/>
              <w:overflowPunct/>
              <w:topLinePunct w:val="0"/>
              <w:autoSpaceDE/>
              <w:autoSpaceDN/>
              <w:bidi w:val="0"/>
              <w:adjustRightInd w:val="0"/>
              <w:snapToGrid w:val="0"/>
              <w:spacing w:before="0" w:beforeLines="0" w:after="180" w:afterLines="0" w:line="240" w:lineRule="auto"/>
              <w:textAlignment w:val="auto"/>
            </w:pPr>
            <w:r>
              <w:t>Table 5.1.3.1-1: MCS index table 1</w:t>
            </w:r>
            <w:r>
              <w:rPr>
                <w:lang w:val="en-US"/>
              </w:rPr>
              <w:t xml:space="preserve"> </w:t>
            </w:r>
            <w:r>
              <w:t>for PDSCH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1228"/>
              <w:gridCol w:w="940"/>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64"/>
                    <w:pageBreakBefore w:val="0"/>
                    <w:kinsoku/>
                    <w:wordWrap/>
                    <w:overflowPunct/>
                    <w:topLinePunct w:val="0"/>
                    <w:autoSpaceDE/>
                    <w:autoSpaceDN/>
                    <w:bidi w:val="0"/>
                    <w:adjustRightInd w:val="0"/>
                    <w:snapToGrid w:val="0"/>
                    <w:spacing w:beforeLines="0" w:afterLines="0" w:line="240" w:lineRule="auto"/>
                    <w:textAlignment w:val="auto"/>
                    <w:rPr>
                      <w:lang w:val="en-US"/>
                    </w:rPr>
                  </w:pPr>
                  <w:r>
                    <w:rPr>
                      <w:lang w:val="en-US"/>
                    </w:rPr>
                    <w:t>MCS Index</w:t>
                  </w:r>
                  <w:r>
                    <w:rPr>
                      <w:lang w:val="en-US"/>
                    </w:rPr>
                    <w:br w:type="textWrapping"/>
                  </w:r>
                  <w:r>
                    <w:rPr>
                      <w:i/>
                      <w:lang w:val="en-GB"/>
                    </w:rPr>
                    <w:t>I</w:t>
                  </w:r>
                  <w:r>
                    <w:rPr>
                      <w:i/>
                      <w:vertAlign w:val="subscript"/>
                      <w:lang w:val="en-GB"/>
                    </w:rPr>
                    <w:t>MCS</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64"/>
                    <w:pageBreakBefore w:val="0"/>
                    <w:kinsoku/>
                    <w:wordWrap/>
                    <w:overflowPunct/>
                    <w:topLinePunct w:val="0"/>
                    <w:autoSpaceDE/>
                    <w:autoSpaceDN/>
                    <w:bidi w:val="0"/>
                    <w:adjustRightInd w:val="0"/>
                    <w:snapToGrid w:val="0"/>
                    <w:spacing w:beforeLines="0" w:afterLines="0" w:line="240" w:lineRule="auto"/>
                    <w:textAlignment w:val="auto"/>
                    <w:rPr>
                      <w:lang w:val="en-US"/>
                    </w:rPr>
                  </w:pPr>
                  <w:r>
                    <w:rPr>
                      <w:lang w:val="en-US"/>
                    </w:rPr>
                    <w:t>Modulation Order</w:t>
                  </w:r>
                  <w:r>
                    <w:rPr>
                      <w:lang w:val="en-US"/>
                    </w:rPr>
                    <w:br w:type="textWrapping"/>
                  </w:r>
                  <w:r>
                    <w:rPr>
                      <w:i/>
                      <w:lang w:val="en-GB"/>
                    </w:rPr>
                    <w:t xml:space="preserve"> Q</w:t>
                  </w:r>
                  <w:r>
                    <w:rPr>
                      <w:i/>
                      <w:vertAlign w:val="subscript"/>
                      <w:lang w:val="en-GB"/>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64"/>
                    <w:pageBreakBefore w:val="0"/>
                    <w:kinsoku/>
                    <w:wordWrap/>
                    <w:overflowPunct/>
                    <w:topLinePunct w:val="0"/>
                    <w:autoSpaceDE/>
                    <w:autoSpaceDN/>
                    <w:bidi w:val="0"/>
                    <w:adjustRightInd w:val="0"/>
                    <w:snapToGrid w:val="0"/>
                    <w:spacing w:beforeLines="0" w:afterLines="0" w:line="240" w:lineRule="auto"/>
                    <w:textAlignment w:val="auto"/>
                    <w:rPr>
                      <w:lang w:val="en-US"/>
                    </w:rPr>
                  </w:pPr>
                  <w:r>
                    <w:rPr>
                      <w:lang w:val="en-US"/>
                    </w:rPr>
                    <w:t xml:space="preserve">Target code Rate </w:t>
                  </w:r>
                  <w:r>
                    <w:rPr>
                      <w:i/>
                      <w:lang w:val="en-US"/>
                    </w:rPr>
                    <w:t>R</w:t>
                  </w:r>
                  <w:r>
                    <w:rPr>
                      <w:lang w:val="en-US"/>
                    </w:rPr>
                    <w:t xml:space="preserve"> </w:t>
                  </w:r>
                  <w:r>
                    <w:rPr>
                      <w:lang w:val="en-GB"/>
                    </w:rPr>
                    <w:t>x [1024]</w:t>
                  </w:r>
                </w:p>
              </w:tc>
              <w:tc>
                <w:tcPr>
                  <w:tcW w:w="1814" w:type="dxa"/>
                  <w:tcBorders>
                    <w:top w:val="single" w:color="auto" w:sz="4" w:space="0"/>
                    <w:left w:val="single" w:color="auto" w:sz="4" w:space="0"/>
                    <w:bottom w:val="double" w:color="auto" w:sz="4" w:space="0"/>
                    <w:right w:val="single" w:color="auto" w:sz="4" w:space="0"/>
                  </w:tcBorders>
                  <w:shd w:val="clear" w:color="auto" w:fill="E0E0E0"/>
                </w:tcPr>
                <w:p>
                  <w:pPr>
                    <w:pStyle w:val="64"/>
                    <w:pageBreakBefore w:val="0"/>
                    <w:kinsoku/>
                    <w:wordWrap/>
                    <w:overflowPunct/>
                    <w:topLinePunct w:val="0"/>
                    <w:autoSpaceDE/>
                    <w:autoSpaceDN/>
                    <w:bidi w:val="0"/>
                    <w:adjustRightInd w:val="0"/>
                    <w:snapToGrid w:val="0"/>
                    <w:spacing w:beforeLines="0" w:afterLines="0" w:line="240" w:lineRule="auto"/>
                    <w:textAlignment w:val="auto"/>
                    <w:rPr>
                      <w:lang w:val="en-GB"/>
                    </w:rPr>
                  </w:pPr>
                  <w:r>
                    <w:rPr>
                      <w:lang w:val="en-GB"/>
                    </w:rPr>
                    <w:t>Spectral</w:t>
                  </w:r>
                </w:p>
                <w:p>
                  <w:pPr>
                    <w:pStyle w:val="64"/>
                    <w:pageBreakBefore w:val="0"/>
                    <w:kinsoku/>
                    <w:wordWrap/>
                    <w:overflowPunct/>
                    <w:topLinePunct w:val="0"/>
                    <w:autoSpaceDE/>
                    <w:autoSpaceDN/>
                    <w:bidi w:val="0"/>
                    <w:adjustRightInd w:val="0"/>
                    <w:snapToGrid w:val="0"/>
                    <w:spacing w:beforeLines="0" w:afterLines="0" w:line="240" w:lineRule="auto"/>
                    <w:textAlignment w:val="auto"/>
                    <w:rPr>
                      <w:lang w:val="en-US"/>
                    </w:rPr>
                  </w:pPr>
                  <w:r>
                    <w:rPr>
                      <w:lang w:val="en-GB"/>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doub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US"/>
                    </w:rPr>
                  </w:pPr>
                  <w:r>
                    <w:rPr>
                      <w:b/>
                      <w:color w:val="000000"/>
                      <w:lang w:val="en-US"/>
                    </w:rPr>
                    <w:t>0</w:t>
                  </w:r>
                </w:p>
              </w:tc>
              <w:tc>
                <w:tcPr>
                  <w:tcW w:w="0" w:type="auto"/>
                  <w:tcBorders>
                    <w:top w:val="doub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pt-BR"/>
                    </w:rPr>
                    <w:t>2</w:t>
                  </w:r>
                </w:p>
              </w:tc>
              <w:tc>
                <w:tcPr>
                  <w:tcW w:w="0" w:type="auto"/>
                  <w:tcBorders>
                    <w:top w:val="doub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pt-BR"/>
                    </w:rPr>
                    <w:t>120</w:t>
                  </w:r>
                </w:p>
              </w:tc>
              <w:tc>
                <w:tcPr>
                  <w:tcW w:w="1814" w:type="dxa"/>
                  <w:tcBorders>
                    <w:top w:val="doub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en-GB"/>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US"/>
                    </w:rPr>
                  </w:pPr>
                  <w:r>
                    <w:rPr>
                      <w:b/>
                      <w:color w:val="000000"/>
                      <w:lang w:val="en-US"/>
                    </w:rPr>
                    <w:t>1</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pt-BR"/>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pt-BR"/>
                    </w:rPr>
                    <w:t>157</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en-GB"/>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2</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193</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3</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251</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0.4902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4</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308</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5</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379</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6</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449</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7</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526</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1.0273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8</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602</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1.1758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9</w:t>
                  </w:r>
                </w:p>
              </w:tc>
              <w:tc>
                <w:tcPr>
                  <w:tcW w:w="0" w:type="auto"/>
                  <w:tcBorders>
                    <w:top w:val="single" w:color="auto" w:sz="4" w:space="0"/>
                    <w:left w:val="double" w:color="auto" w:sz="4" w:space="0"/>
                    <w:bottom w:val="single" w:color="auto" w:sz="4" w:space="0"/>
                    <w:right w:val="sing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679</w:t>
                  </w:r>
                </w:p>
              </w:tc>
              <w:tc>
                <w:tcPr>
                  <w:tcW w:w="1814"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1.3262</w:t>
                  </w:r>
                </w:p>
              </w:tc>
            </w:tr>
          </w:tbl>
          <w:p>
            <w:pPr>
              <w:pStyle w:val="62"/>
              <w:keepLines w:val="0"/>
              <w:pageBreakBefore w:val="0"/>
              <w:widowControl w:val="0"/>
              <w:kinsoku/>
              <w:wordWrap/>
              <w:overflowPunct/>
              <w:topLinePunct w:val="0"/>
              <w:autoSpaceDE/>
              <w:autoSpaceDN/>
              <w:bidi w:val="0"/>
              <w:adjustRightInd w:val="0"/>
              <w:snapToGrid w:val="0"/>
              <w:spacing w:beforeLines="0" w:after="180" w:afterLines="0" w:line="240" w:lineRule="auto"/>
              <w:ind w:left="0" w:leftChars="0" w:firstLine="0" w:firstLineChars="0"/>
              <w:textAlignment w:val="auto"/>
              <w:rPr>
                <w:rFonts w:hint="default"/>
                <w:vertAlign w:val="baseline"/>
                <w:lang w:val="en-US" w:eastAsia="zh-CN"/>
              </w:rPr>
            </w:pPr>
          </w:p>
        </w:tc>
        <w:tc>
          <w:tcPr>
            <w:tcW w:w="4938" w:type="dxa"/>
          </w:tcPr>
          <w:p>
            <w:pPr>
              <w:pStyle w:val="55"/>
              <w:pageBreakBefore w:val="0"/>
              <w:kinsoku/>
              <w:wordWrap/>
              <w:overflowPunct/>
              <w:topLinePunct w:val="0"/>
              <w:autoSpaceDE/>
              <w:autoSpaceDN/>
              <w:bidi w:val="0"/>
              <w:adjustRightInd w:val="0"/>
              <w:snapToGrid w:val="0"/>
              <w:spacing w:beforeLines="0" w:after="180" w:afterLines="0" w:line="240" w:lineRule="auto"/>
              <w:textAlignment w:val="auto"/>
            </w:pPr>
            <w:r>
              <w:t>Table 5.1.3.1-2: MCS index table 2 for PDSCH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1223"/>
              <w:gridCol w:w="924"/>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double" w:color="auto" w:sz="4" w:space="0"/>
                    <w:right w:val="double" w:color="auto" w:sz="4" w:space="0"/>
                  </w:tcBorders>
                  <w:shd w:val="clear" w:color="auto" w:fill="E0E0E0"/>
                  <w:vAlign w:val="center"/>
                </w:tcPr>
                <w:p>
                  <w:pPr>
                    <w:pStyle w:val="64"/>
                    <w:pageBreakBefore w:val="0"/>
                    <w:kinsoku/>
                    <w:wordWrap/>
                    <w:overflowPunct/>
                    <w:topLinePunct w:val="0"/>
                    <w:autoSpaceDE/>
                    <w:autoSpaceDN/>
                    <w:bidi w:val="0"/>
                    <w:adjustRightInd w:val="0"/>
                    <w:snapToGrid w:val="0"/>
                    <w:spacing w:beforeLines="0" w:afterLines="0" w:line="240" w:lineRule="auto"/>
                    <w:textAlignment w:val="auto"/>
                    <w:rPr>
                      <w:bCs/>
                      <w:color w:val="000000"/>
                      <w:lang w:val="en-US"/>
                    </w:rPr>
                  </w:pPr>
                  <w:r>
                    <w:rPr>
                      <w:bCs/>
                      <w:color w:val="000000"/>
                      <w:lang w:val="en-US"/>
                    </w:rPr>
                    <w:t>MCS Index</w:t>
                  </w:r>
                  <w:r>
                    <w:rPr>
                      <w:bCs/>
                      <w:color w:val="000000"/>
                      <w:lang w:val="en-US"/>
                    </w:rPr>
                    <w:br w:type="textWrapping"/>
                  </w:r>
                  <w:r>
                    <w:rPr>
                      <w:i/>
                      <w:color w:val="000000"/>
                      <w:lang w:val="en-GB"/>
                    </w:rPr>
                    <w:t>I</w:t>
                  </w:r>
                  <w:r>
                    <w:rPr>
                      <w:i/>
                      <w:color w:val="000000"/>
                      <w:vertAlign w:val="subscript"/>
                      <w:lang w:val="en-GB"/>
                    </w:rPr>
                    <w:t>MCS</w:t>
                  </w:r>
                  <w:r>
                    <w:rPr>
                      <w:color w:val="000000"/>
                      <w:lang w:val="en-GB"/>
                    </w:rPr>
                    <w:t xml:space="preserve"> </w:t>
                  </w:r>
                </w:p>
              </w:tc>
              <w:tc>
                <w:tcPr>
                  <w:tcW w:w="0" w:type="auto"/>
                  <w:tcBorders>
                    <w:top w:val="single" w:color="auto" w:sz="4" w:space="0"/>
                    <w:left w:val="double" w:color="auto" w:sz="4" w:space="0"/>
                    <w:bottom w:val="double" w:color="auto" w:sz="4" w:space="0"/>
                    <w:right w:val="single" w:color="auto" w:sz="4" w:space="0"/>
                  </w:tcBorders>
                  <w:shd w:val="clear" w:color="auto" w:fill="E0E0E0"/>
                  <w:vAlign w:val="center"/>
                </w:tcPr>
                <w:p>
                  <w:pPr>
                    <w:pStyle w:val="64"/>
                    <w:pageBreakBefore w:val="0"/>
                    <w:kinsoku/>
                    <w:wordWrap/>
                    <w:overflowPunct/>
                    <w:topLinePunct w:val="0"/>
                    <w:autoSpaceDE/>
                    <w:autoSpaceDN/>
                    <w:bidi w:val="0"/>
                    <w:adjustRightInd w:val="0"/>
                    <w:snapToGrid w:val="0"/>
                    <w:spacing w:beforeLines="0" w:afterLines="0" w:line="240" w:lineRule="auto"/>
                    <w:textAlignment w:val="auto"/>
                    <w:rPr>
                      <w:bCs/>
                      <w:color w:val="000000"/>
                      <w:lang w:val="en-US"/>
                    </w:rPr>
                  </w:pPr>
                  <w:r>
                    <w:rPr>
                      <w:bCs/>
                      <w:color w:val="000000"/>
                      <w:lang w:val="en-US"/>
                    </w:rPr>
                    <w:t>Modulation Order</w:t>
                  </w:r>
                  <w:r>
                    <w:rPr>
                      <w:bCs/>
                      <w:color w:val="000000"/>
                      <w:lang w:val="en-US"/>
                    </w:rPr>
                    <w:br w:type="textWrapping"/>
                  </w:r>
                  <w:r>
                    <w:rPr>
                      <w:i/>
                      <w:color w:val="000000"/>
                      <w:lang w:val="en-GB"/>
                    </w:rPr>
                    <w:t xml:space="preserve"> Q</w:t>
                  </w:r>
                  <w:r>
                    <w:rPr>
                      <w:i/>
                      <w:color w:val="000000"/>
                      <w:vertAlign w:val="subscript"/>
                      <w:lang w:val="en-GB"/>
                    </w:rPr>
                    <w:t>m</w:t>
                  </w:r>
                </w:p>
              </w:tc>
              <w:tc>
                <w:tcPr>
                  <w:tcW w:w="0" w:type="auto"/>
                  <w:tcBorders>
                    <w:top w:val="single" w:color="auto" w:sz="4" w:space="0"/>
                    <w:left w:val="single" w:color="auto" w:sz="4" w:space="0"/>
                    <w:bottom w:val="double" w:color="auto" w:sz="4" w:space="0"/>
                    <w:right w:val="single" w:color="auto" w:sz="4" w:space="0"/>
                  </w:tcBorders>
                  <w:shd w:val="clear" w:color="auto" w:fill="E0E0E0"/>
                  <w:vAlign w:val="center"/>
                </w:tcPr>
                <w:p>
                  <w:pPr>
                    <w:pStyle w:val="64"/>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bCs/>
                      <w:color w:val="000000"/>
                      <w:lang w:val="en-US"/>
                    </w:rPr>
                    <w:t xml:space="preserve">Target code Rate </w:t>
                  </w:r>
                  <w:r>
                    <w:rPr>
                      <w:bCs/>
                      <w:i/>
                      <w:color w:val="000000"/>
                      <w:lang w:val="en-US"/>
                    </w:rPr>
                    <w:t xml:space="preserve">R </w:t>
                  </w:r>
                  <w:r>
                    <w:rPr>
                      <w:color w:val="000000"/>
                      <w:lang w:val="en-GB"/>
                    </w:rPr>
                    <w:t>x [1024]</w:t>
                  </w:r>
                </w:p>
              </w:tc>
              <w:tc>
                <w:tcPr>
                  <w:tcW w:w="1839" w:type="dxa"/>
                  <w:tcBorders>
                    <w:top w:val="single" w:color="auto" w:sz="4" w:space="0"/>
                    <w:left w:val="single" w:color="auto" w:sz="4" w:space="0"/>
                    <w:bottom w:val="double" w:color="auto" w:sz="4" w:space="0"/>
                    <w:right w:val="single" w:color="auto" w:sz="4" w:space="0"/>
                  </w:tcBorders>
                  <w:shd w:val="clear" w:color="auto" w:fill="E0E0E0"/>
                </w:tcPr>
                <w:p>
                  <w:pPr>
                    <w:pStyle w:val="64"/>
                    <w:pageBreakBefore w:val="0"/>
                    <w:kinsoku/>
                    <w:wordWrap/>
                    <w:overflowPunct/>
                    <w:topLinePunct w:val="0"/>
                    <w:autoSpaceDE/>
                    <w:autoSpaceDN/>
                    <w:bidi w:val="0"/>
                    <w:adjustRightInd w:val="0"/>
                    <w:snapToGrid w:val="0"/>
                    <w:spacing w:beforeLines="0" w:afterLines="0" w:line="240" w:lineRule="auto"/>
                    <w:textAlignment w:val="auto"/>
                    <w:rPr>
                      <w:bCs/>
                      <w:color w:val="000000"/>
                      <w:lang w:val="en-GB"/>
                    </w:rPr>
                  </w:pPr>
                  <w:r>
                    <w:rPr>
                      <w:bCs/>
                      <w:color w:val="000000"/>
                      <w:lang w:val="en-GB"/>
                    </w:rPr>
                    <w:t>Spectral</w:t>
                  </w:r>
                </w:p>
                <w:p>
                  <w:pPr>
                    <w:pStyle w:val="64"/>
                    <w:pageBreakBefore w:val="0"/>
                    <w:kinsoku/>
                    <w:wordWrap/>
                    <w:overflowPunct/>
                    <w:topLinePunct w:val="0"/>
                    <w:autoSpaceDE/>
                    <w:autoSpaceDN/>
                    <w:bidi w:val="0"/>
                    <w:adjustRightInd w:val="0"/>
                    <w:snapToGrid w:val="0"/>
                    <w:spacing w:beforeLines="0" w:afterLines="0" w:line="240" w:lineRule="auto"/>
                    <w:textAlignment w:val="auto"/>
                    <w:rPr>
                      <w:bCs/>
                      <w:color w:val="000000"/>
                      <w:lang w:val="en-GB"/>
                    </w:rPr>
                  </w:pPr>
                  <w:r>
                    <w:rPr>
                      <w:bCs/>
                      <w:color w:val="000000"/>
                      <w:lang w:val="en-GB"/>
                    </w:rPr>
                    <w:t>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doub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US"/>
                    </w:rPr>
                  </w:pPr>
                  <w:r>
                    <w:rPr>
                      <w:b/>
                      <w:color w:val="000000"/>
                      <w:lang w:val="en-US"/>
                    </w:rPr>
                    <w:t>0</w:t>
                  </w:r>
                </w:p>
              </w:tc>
              <w:tc>
                <w:tcPr>
                  <w:tcW w:w="0" w:type="auto"/>
                  <w:tcBorders>
                    <w:top w:val="double" w:color="auto" w:sz="4" w:space="0"/>
                    <w:left w:val="doub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en-GB"/>
                    </w:rPr>
                    <w:t>2</w:t>
                  </w:r>
                </w:p>
              </w:tc>
              <w:tc>
                <w:tcPr>
                  <w:tcW w:w="0" w:type="auto"/>
                  <w:tcBorders>
                    <w:top w:val="doub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pt-BR"/>
                    </w:rPr>
                    <w:t>120</w:t>
                  </w:r>
                </w:p>
              </w:tc>
              <w:tc>
                <w:tcPr>
                  <w:tcW w:w="1839" w:type="dxa"/>
                  <w:tcBorders>
                    <w:top w:val="doub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en-GB"/>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US"/>
                    </w:rPr>
                  </w:pPr>
                  <w:r>
                    <w:rPr>
                      <w:b/>
                      <w:color w:val="000000"/>
                      <w:lang w:val="en-US"/>
                    </w:rPr>
                    <w:t>1</w:t>
                  </w:r>
                </w:p>
              </w:tc>
              <w:tc>
                <w:tcPr>
                  <w:tcW w:w="0" w:type="auto"/>
                  <w:tcBorders>
                    <w:top w:val="single" w:color="auto" w:sz="4" w:space="0"/>
                    <w:left w:val="doub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pt-BR"/>
                    </w:rPr>
                    <w:t>193</w:t>
                  </w:r>
                </w:p>
              </w:tc>
              <w:tc>
                <w:tcPr>
                  <w:tcW w:w="1839"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US"/>
                    </w:rPr>
                  </w:pPr>
                  <w:r>
                    <w:rPr>
                      <w:color w:val="000000"/>
                      <w:lang w:val="en-GB"/>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2</w:t>
                  </w:r>
                </w:p>
              </w:tc>
              <w:tc>
                <w:tcPr>
                  <w:tcW w:w="0" w:type="auto"/>
                  <w:tcBorders>
                    <w:top w:val="single" w:color="auto" w:sz="4" w:space="0"/>
                    <w:left w:val="doub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308</w:t>
                  </w:r>
                </w:p>
              </w:tc>
              <w:tc>
                <w:tcPr>
                  <w:tcW w:w="1839"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3</w:t>
                  </w:r>
                </w:p>
              </w:tc>
              <w:tc>
                <w:tcPr>
                  <w:tcW w:w="0" w:type="auto"/>
                  <w:tcBorders>
                    <w:top w:val="single" w:color="auto" w:sz="4" w:space="0"/>
                    <w:left w:val="doub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449</w:t>
                  </w:r>
                </w:p>
              </w:tc>
              <w:tc>
                <w:tcPr>
                  <w:tcW w:w="1839"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double" w:color="auto" w:sz="4" w:space="0"/>
                  </w:tcBorders>
                  <w:vAlign w:val="center"/>
                </w:tcPr>
                <w:p>
                  <w:pPr>
                    <w:pStyle w:val="56"/>
                    <w:pageBreakBefore w:val="0"/>
                    <w:kinsoku/>
                    <w:wordWrap/>
                    <w:overflowPunct/>
                    <w:topLinePunct w:val="0"/>
                    <w:autoSpaceDE/>
                    <w:autoSpaceDN/>
                    <w:bidi w:val="0"/>
                    <w:adjustRightInd w:val="0"/>
                    <w:snapToGrid w:val="0"/>
                    <w:spacing w:beforeLines="0" w:afterLines="0" w:line="240" w:lineRule="auto"/>
                    <w:textAlignment w:val="auto"/>
                    <w:rPr>
                      <w:b/>
                      <w:color w:val="000000"/>
                      <w:lang w:val="en-GB"/>
                    </w:rPr>
                  </w:pPr>
                  <w:r>
                    <w:rPr>
                      <w:b/>
                      <w:color w:val="000000"/>
                      <w:lang w:val="en-GB"/>
                    </w:rPr>
                    <w:t>4</w:t>
                  </w:r>
                </w:p>
              </w:tc>
              <w:tc>
                <w:tcPr>
                  <w:tcW w:w="0" w:type="auto"/>
                  <w:tcBorders>
                    <w:top w:val="single" w:color="auto" w:sz="4" w:space="0"/>
                    <w:left w:val="doub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2</w:t>
                  </w:r>
                </w:p>
              </w:tc>
              <w:tc>
                <w:tcPr>
                  <w:tcW w:w="0" w:type="auto"/>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pt-BR"/>
                    </w:rPr>
                    <w:t>602</w:t>
                  </w:r>
                </w:p>
              </w:tc>
              <w:tc>
                <w:tcPr>
                  <w:tcW w:w="1839" w:type="dxa"/>
                  <w:tcBorders>
                    <w:top w:val="single" w:color="auto" w:sz="4" w:space="0"/>
                    <w:left w:val="single" w:color="auto" w:sz="4" w:space="0"/>
                    <w:bottom w:val="single" w:color="auto" w:sz="4" w:space="0"/>
                    <w:right w:val="single" w:color="auto" w:sz="4" w:space="0"/>
                  </w:tcBorders>
                </w:tcPr>
                <w:p>
                  <w:pPr>
                    <w:pStyle w:val="56"/>
                    <w:pageBreakBefore w:val="0"/>
                    <w:kinsoku/>
                    <w:wordWrap/>
                    <w:overflowPunct/>
                    <w:topLinePunct w:val="0"/>
                    <w:autoSpaceDE/>
                    <w:autoSpaceDN/>
                    <w:bidi w:val="0"/>
                    <w:adjustRightInd w:val="0"/>
                    <w:snapToGrid w:val="0"/>
                    <w:spacing w:beforeLines="0" w:afterLines="0" w:line="240" w:lineRule="auto"/>
                    <w:textAlignment w:val="auto"/>
                    <w:rPr>
                      <w:color w:val="000000"/>
                      <w:lang w:val="en-GB"/>
                    </w:rPr>
                  </w:pPr>
                  <w:r>
                    <w:rPr>
                      <w:color w:val="000000"/>
                      <w:lang w:val="en-GB"/>
                    </w:rPr>
                    <w:t>1.1758</w:t>
                  </w:r>
                </w:p>
              </w:tc>
            </w:tr>
          </w:tbl>
          <w:p>
            <w:pPr>
              <w:pStyle w:val="62"/>
              <w:keepLines w:val="0"/>
              <w:pageBreakBefore w:val="0"/>
              <w:widowControl w:val="0"/>
              <w:kinsoku/>
              <w:wordWrap/>
              <w:overflowPunct/>
              <w:topLinePunct w:val="0"/>
              <w:autoSpaceDE/>
              <w:autoSpaceDN/>
              <w:bidi w:val="0"/>
              <w:adjustRightInd w:val="0"/>
              <w:snapToGrid w:val="0"/>
              <w:spacing w:beforeLines="0" w:after="180" w:afterLines="0" w:line="240" w:lineRule="auto"/>
              <w:ind w:left="0" w:leftChars="0" w:firstLine="0" w:firstLineChars="0"/>
              <w:textAlignment w:val="auto"/>
              <w:rPr>
                <w:rFonts w:hint="default"/>
                <w:vertAlign w:val="baseline"/>
                <w:lang w:val="en-US" w:eastAsia="zh-CN"/>
              </w:rPr>
            </w:pPr>
          </w:p>
        </w:tc>
      </w:tr>
    </w:tbl>
    <w:p>
      <w:pPr>
        <w:pStyle w:val="62"/>
        <w:keepLines w:val="0"/>
        <w:widowControl w:val="0"/>
        <w:spacing w:before="120" w:after="120"/>
        <w:ind w:left="0" w:firstLine="0"/>
        <w:rPr>
          <w:rFonts w:hint="default"/>
          <w:lang w:val="en-US" w:eastAsia="zh-CN"/>
        </w:rPr>
      </w:pPr>
      <w:r>
        <w:rPr>
          <w:rFonts w:hint="eastAsia"/>
          <w:lang w:val="en-US" w:eastAsia="zh-CN"/>
        </w:rPr>
        <w:t>Table 2-2 gives the operating SNR pair for two CC with high power imbalance(close to and less than 25dB) for 2 layer transmission with 2Tx 2Rx antenna configuration. The detailed simulation results are appended in the Annex for reference.</w:t>
      </w:r>
    </w:p>
    <w:p>
      <w:pPr>
        <w:pStyle w:val="62"/>
        <w:keepLines w:val="0"/>
        <w:widowControl w:val="0"/>
        <w:spacing w:before="120" w:after="120"/>
        <w:ind w:left="0" w:firstLine="0"/>
        <w:jc w:val="center"/>
        <w:rPr>
          <w:rFonts w:hint="default"/>
          <w:b/>
          <w:bCs/>
          <w:lang w:val="en-US" w:eastAsia="zh-CN"/>
        </w:rPr>
      </w:pPr>
      <w:r>
        <w:rPr>
          <w:rFonts w:hint="eastAsia"/>
          <w:b/>
          <w:bCs/>
          <w:lang w:val="en-US" w:eastAsia="zh-CN"/>
        </w:rPr>
        <w:t>Table 2-2 SNR pair for two CC with high power imbalance(close to and less than 25dB)</w:t>
      </w:r>
    </w:p>
    <w:tbl>
      <w:tblPr>
        <w:tblStyle w:val="23"/>
        <w:tblW w:w="97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068"/>
        <w:gridCol w:w="2020"/>
        <w:gridCol w:w="1920"/>
        <w:gridCol w:w="1981"/>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3"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index</w:t>
            </w:r>
          </w:p>
        </w:tc>
        <w:tc>
          <w:tcPr>
            <w:tcW w:w="2068"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MCS_lower power</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MCS_higher power</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SNR_lower power</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SNR_higher power</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SNR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1</w:t>
            </w:r>
          </w:p>
        </w:tc>
        <w:tc>
          <w:tcPr>
            <w:tcW w:w="2068"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0(table 1,table 2)</w:t>
            </w:r>
          </w:p>
        </w:tc>
        <w:tc>
          <w:tcPr>
            <w:tcW w:w="0" w:type="auto"/>
          </w:tcPr>
          <w:p>
            <w:pPr>
              <w:overflowPunct w:val="0"/>
              <w:autoSpaceDE w:val="0"/>
              <w:autoSpaceDN w:val="0"/>
              <w:adjustRightInd w:val="0"/>
              <w:spacing w:after="180"/>
              <w:textAlignment w:val="baseline"/>
              <w:rPr>
                <w:rFonts w:hint="default"/>
                <w:b/>
                <w:bCs/>
                <w:color w:val="0000FF"/>
                <w:sz w:val="20"/>
                <w:szCs w:val="20"/>
                <w:vertAlign w:val="baseline"/>
                <w:lang w:val="en-US" w:eastAsia="zh-CN"/>
              </w:rPr>
            </w:pPr>
            <w:r>
              <w:rPr>
                <w:rFonts w:hint="eastAsia"/>
                <w:color w:val="auto"/>
                <w:sz w:val="20"/>
                <w:szCs w:val="20"/>
                <w:vertAlign w:val="baseline"/>
                <w:lang w:val="en-US" w:eastAsia="zh-CN"/>
              </w:rPr>
              <w:t>28(table 1)</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-3.8dB</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20.2dB</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 w:type="dxa"/>
            <w:vAlign w:val="top"/>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w:t>
            </w:r>
          </w:p>
        </w:tc>
        <w:tc>
          <w:tcPr>
            <w:tcW w:w="2068" w:type="dxa"/>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20"/>
                <w:szCs w:val="20"/>
                <w:vertAlign w:val="baseline"/>
                <w:lang w:val="en-US" w:eastAsia="zh-CN" w:bidi="ar-SA"/>
              </w:rPr>
            </w:pPr>
            <w:r>
              <w:rPr>
                <w:rFonts w:hint="eastAsia"/>
                <w:color w:val="auto"/>
                <w:sz w:val="20"/>
                <w:szCs w:val="20"/>
                <w:vertAlign w:val="baseline"/>
                <w:lang w:val="en-US" w:eastAsia="zh-CN"/>
              </w:rPr>
              <w:t>0(table 1,table 2)</w:t>
            </w:r>
          </w:p>
        </w:tc>
        <w:tc>
          <w:tcPr>
            <w:tcW w:w="0" w:type="auto"/>
            <w:vAlign w:val="top"/>
          </w:tcPr>
          <w:p>
            <w:pPr>
              <w:overflowPunct w:val="0"/>
              <w:autoSpaceDE w:val="0"/>
              <w:autoSpaceDN w:val="0"/>
              <w:adjustRightInd w:val="0"/>
              <w:spacing w:after="180"/>
              <w:textAlignment w:val="baseline"/>
              <w:rPr>
                <w:rFonts w:hint="eastAsia" w:ascii="Times New Roman" w:hAnsi="Times New Roman" w:eastAsia="宋体" w:cs="Times New Roman"/>
                <w:b/>
                <w:bCs/>
                <w:color w:val="0000FF"/>
                <w:kern w:val="2"/>
                <w:sz w:val="20"/>
                <w:szCs w:val="20"/>
                <w:vertAlign w:val="baseline"/>
                <w:lang w:val="en-US" w:eastAsia="zh-CN" w:bidi="ar-SA"/>
              </w:rPr>
            </w:pPr>
            <w:r>
              <w:rPr>
                <w:rFonts w:hint="eastAsia"/>
                <w:color w:val="auto"/>
                <w:sz w:val="20"/>
                <w:szCs w:val="20"/>
                <w:vertAlign w:val="baseline"/>
                <w:lang w:val="en-US" w:eastAsia="zh-CN"/>
              </w:rPr>
              <w:t>22(table 2)</w:t>
            </w:r>
          </w:p>
        </w:tc>
        <w:tc>
          <w:tcPr>
            <w:tcW w:w="0" w:type="auto"/>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20"/>
                <w:szCs w:val="20"/>
                <w:vertAlign w:val="baseline"/>
                <w:lang w:val="en-US" w:eastAsia="zh-CN" w:bidi="ar-SA"/>
              </w:rPr>
            </w:pPr>
            <w:r>
              <w:rPr>
                <w:rFonts w:hint="eastAsia"/>
                <w:color w:val="auto"/>
                <w:sz w:val="20"/>
                <w:szCs w:val="20"/>
                <w:vertAlign w:val="baseline"/>
                <w:lang w:val="en-US" w:eastAsia="zh-CN"/>
              </w:rPr>
              <w:t>-3.8dB</w:t>
            </w:r>
          </w:p>
        </w:tc>
        <w:tc>
          <w:tcPr>
            <w:tcW w:w="0" w:type="auto"/>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20"/>
                <w:szCs w:val="20"/>
                <w:vertAlign w:val="baseline"/>
                <w:lang w:val="en-US" w:eastAsia="zh-CN" w:bidi="ar-SA"/>
              </w:rPr>
            </w:pPr>
            <w:r>
              <w:rPr>
                <w:rFonts w:hint="eastAsia"/>
                <w:color w:val="auto"/>
                <w:sz w:val="20"/>
                <w:szCs w:val="20"/>
                <w:vertAlign w:val="baseline"/>
                <w:lang w:val="en-US" w:eastAsia="zh-CN"/>
              </w:rPr>
              <w:t>20.6dB</w:t>
            </w:r>
          </w:p>
        </w:tc>
        <w:tc>
          <w:tcPr>
            <w:tcW w:w="0" w:type="auto"/>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20"/>
                <w:szCs w:val="20"/>
                <w:vertAlign w:val="baseline"/>
                <w:lang w:val="en-US" w:eastAsia="zh-CN" w:bidi="ar-SA"/>
              </w:rPr>
            </w:pPr>
            <w:r>
              <w:rPr>
                <w:rFonts w:hint="eastAsia"/>
                <w:color w:val="auto"/>
                <w:sz w:val="20"/>
                <w:szCs w:val="20"/>
                <w:vertAlign w:val="baseline"/>
                <w:lang w:val="en-US" w:eastAsia="zh-CN"/>
              </w:rPr>
              <w:t>24.4dB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3</w:t>
            </w:r>
          </w:p>
        </w:tc>
        <w:tc>
          <w:tcPr>
            <w:tcW w:w="2068"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1(table 1)</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23(table 2)</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-3dB</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default"/>
                <w:color w:val="auto"/>
                <w:sz w:val="20"/>
                <w:szCs w:val="20"/>
                <w:vertAlign w:val="baseline"/>
                <w:lang w:val="en-US" w:eastAsia="zh-CN"/>
              </w:rPr>
              <w:t>21.2dB</w:t>
            </w:r>
          </w:p>
        </w:tc>
        <w:tc>
          <w:tcPr>
            <w:tcW w:w="0" w:type="auto"/>
            <w:vAlign w:val="top"/>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24.2dB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4</w:t>
            </w:r>
          </w:p>
        </w:tc>
        <w:tc>
          <w:tcPr>
            <w:tcW w:w="2068" w:type="dxa"/>
          </w:tcPr>
          <w:p>
            <w:pPr>
              <w:overflowPunct w:val="0"/>
              <w:autoSpaceDE w:val="0"/>
              <w:autoSpaceDN w:val="0"/>
              <w:adjustRightInd w:val="0"/>
              <w:spacing w:after="180"/>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2(table 1),</w:t>
            </w:r>
          </w:p>
          <w:p>
            <w:pPr>
              <w:overflowPunct w:val="0"/>
              <w:autoSpaceDE w:val="0"/>
              <w:autoSpaceDN w:val="0"/>
              <w:adjustRightInd w:val="0"/>
              <w:spacing w:after="180"/>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1(table 2)</w:t>
            </w:r>
          </w:p>
        </w:tc>
        <w:tc>
          <w:tcPr>
            <w:tcW w:w="0" w:type="auto"/>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20"/>
                <w:szCs w:val="20"/>
                <w:vertAlign w:val="baseline"/>
                <w:lang w:val="en-US" w:eastAsia="zh-CN" w:bidi="ar-SA"/>
              </w:rPr>
            </w:pPr>
            <w:r>
              <w:rPr>
                <w:rFonts w:hint="eastAsia"/>
                <w:color w:val="auto"/>
                <w:sz w:val="20"/>
                <w:szCs w:val="20"/>
                <w:vertAlign w:val="baseline"/>
                <w:lang w:val="en-US" w:eastAsia="zh-CN"/>
              </w:rPr>
              <w:t>23(table 2)</w:t>
            </w:r>
          </w:p>
        </w:tc>
        <w:tc>
          <w:tcPr>
            <w:tcW w:w="0" w:type="auto"/>
          </w:tcPr>
          <w:p>
            <w:pPr>
              <w:overflowPunct w:val="0"/>
              <w:autoSpaceDE w:val="0"/>
              <w:autoSpaceDN w:val="0"/>
              <w:adjustRightInd w:val="0"/>
              <w:spacing w:after="180"/>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-2.4</w:t>
            </w:r>
          </w:p>
        </w:tc>
        <w:tc>
          <w:tcPr>
            <w:tcW w:w="0" w:type="auto"/>
            <w:vAlign w:val="top"/>
          </w:tcPr>
          <w:p>
            <w:pPr>
              <w:overflowPunct w:val="0"/>
              <w:autoSpaceDE w:val="0"/>
              <w:autoSpaceDN w:val="0"/>
              <w:adjustRightInd w:val="0"/>
              <w:spacing w:after="180"/>
              <w:textAlignment w:val="baseline"/>
              <w:rPr>
                <w:rFonts w:hint="default" w:ascii="Times New Roman" w:hAnsi="Times New Roman" w:eastAsia="宋体" w:cs="Times New Roman"/>
                <w:color w:val="auto"/>
                <w:kern w:val="2"/>
                <w:sz w:val="20"/>
                <w:szCs w:val="20"/>
                <w:vertAlign w:val="baseline"/>
                <w:lang w:val="en-US" w:eastAsia="zh-CN" w:bidi="ar-SA"/>
              </w:rPr>
            </w:pPr>
            <w:r>
              <w:rPr>
                <w:rFonts w:hint="default"/>
                <w:color w:val="auto"/>
                <w:sz w:val="20"/>
                <w:szCs w:val="20"/>
                <w:vertAlign w:val="baseline"/>
                <w:lang w:val="en-US" w:eastAsia="zh-CN"/>
              </w:rPr>
              <w:t>21.2dB</w:t>
            </w:r>
          </w:p>
        </w:tc>
        <w:tc>
          <w:tcPr>
            <w:tcW w:w="0" w:type="auto"/>
            <w:vAlign w:val="top"/>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23.6dB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3" w:type="dxa"/>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5</w:t>
            </w:r>
          </w:p>
        </w:tc>
        <w:tc>
          <w:tcPr>
            <w:tcW w:w="2068" w:type="dxa"/>
          </w:tcPr>
          <w:p>
            <w:pPr>
              <w:overflowPunct w:val="0"/>
              <w:autoSpaceDE w:val="0"/>
              <w:autoSpaceDN w:val="0"/>
              <w:adjustRightInd w:val="0"/>
              <w:spacing w:after="180"/>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2(table 1),</w:t>
            </w:r>
          </w:p>
          <w:p>
            <w:pPr>
              <w:overflowPunct w:val="0"/>
              <w:autoSpaceDE w:val="0"/>
              <w:autoSpaceDN w:val="0"/>
              <w:adjustRightInd w:val="0"/>
              <w:spacing w:after="180"/>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1(table 2)</w:t>
            </w:r>
          </w:p>
        </w:tc>
        <w:tc>
          <w:tcPr>
            <w:tcW w:w="0" w:type="auto"/>
          </w:tcPr>
          <w:p>
            <w:pPr>
              <w:overflowPunct w:val="0"/>
              <w:autoSpaceDE w:val="0"/>
              <w:autoSpaceDN w:val="0"/>
              <w:adjustRightInd w:val="0"/>
              <w:spacing w:after="180"/>
              <w:textAlignment w:val="baseline"/>
              <w:rPr>
                <w:rFonts w:hint="eastAsia"/>
                <w:color w:val="auto"/>
                <w:sz w:val="20"/>
                <w:szCs w:val="20"/>
                <w:vertAlign w:val="baseline"/>
                <w:lang w:val="en-US" w:eastAsia="zh-CN"/>
              </w:rPr>
            </w:pPr>
            <w:r>
              <w:rPr>
                <w:rFonts w:hint="eastAsia"/>
                <w:color w:val="auto"/>
                <w:sz w:val="20"/>
                <w:szCs w:val="20"/>
                <w:vertAlign w:val="baseline"/>
                <w:lang w:val="en-US" w:eastAsia="zh-CN"/>
              </w:rPr>
              <w:t>24(table 2)</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-2.4</w:t>
            </w:r>
          </w:p>
        </w:tc>
        <w:tc>
          <w:tcPr>
            <w:tcW w:w="0" w:type="auto"/>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22.2dB</w:t>
            </w:r>
          </w:p>
        </w:tc>
        <w:tc>
          <w:tcPr>
            <w:tcW w:w="0" w:type="auto"/>
            <w:vAlign w:val="top"/>
          </w:tcPr>
          <w:p>
            <w:pPr>
              <w:overflowPunct w:val="0"/>
              <w:autoSpaceDE w:val="0"/>
              <w:autoSpaceDN w:val="0"/>
              <w:adjustRightInd w:val="0"/>
              <w:spacing w:after="180"/>
              <w:textAlignment w:val="baseline"/>
              <w:rPr>
                <w:rFonts w:hint="default"/>
                <w:color w:val="auto"/>
                <w:sz w:val="20"/>
                <w:szCs w:val="20"/>
                <w:vertAlign w:val="baseline"/>
                <w:lang w:val="en-US" w:eastAsia="zh-CN"/>
              </w:rPr>
            </w:pPr>
            <w:r>
              <w:rPr>
                <w:rFonts w:hint="eastAsia"/>
                <w:color w:val="auto"/>
                <w:sz w:val="20"/>
                <w:szCs w:val="20"/>
                <w:vertAlign w:val="baseline"/>
                <w:lang w:val="en-US" w:eastAsia="zh-CN"/>
              </w:rPr>
              <w:t>24.6dB</w:t>
            </w:r>
          </w:p>
        </w:tc>
      </w:tr>
    </w:tbl>
    <w:p>
      <w:pPr>
        <w:pStyle w:val="62"/>
        <w:keepLines w:val="0"/>
        <w:widowControl w:val="0"/>
        <w:spacing w:before="120" w:after="120"/>
        <w:ind w:left="0" w:firstLine="0"/>
        <w:rPr>
          <w:rFonts w:hint="default"/>
          <w:lang w:val="en-US" w:eastAsia="zh-CN"/>
        </w:rPr>
      </w:pPr>
      <w:r>
        <w:rPr>
          <w:rFonts w:hint="eastAsia"/>
          <w:lang w:val="en-US" w:eastAsia="zh-CN"/>
        </w:rPr>
        <w:t>It can be seen from above results that MCS of two CCs can be selected from table 1 or table 2. For example, the SNR gap between two CCs is 24dB when MCS0 and MCS28 are selected from table 1, the SNR gap between two CCs is 24.4dB when MCS0 and MCS 22 are selected from table 2.</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Observation 1. Both table 1 and table 2 can be used for MCS selection for two CCs with power imbalance less than and close to 25dB.</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3. To consider the following MCS combination for demodulation requirement</w:t>
      </w:r>
    </w:p>
    <w:p>
      <w:pPr>
        <w:pStyle w:val="62"/>
        <w:keepLines w:val="0"/>
        <w:widowControl w:val="0"/>
        <w:spacing w:before="120" w:after="120"/>
        <w:ind w:left="0" w:firstLine="420" w:firstLineChars="0"/>
        <w:rPr>
          <w:rFonts w:hint="eastAsia"/>
          <w:b/>
          <w:bCs/>
          <w:i/>
          <w:iCs/>
          <w:kern w:val="2"/>
          <w:lang w:val="en-US" w:eastAsia="zh-CN"/>
        </w:rPr>
      </w:pPr>
      <w:r>
        <w:rPr>
          <w:rFonts w:hint="eastAsia"/>
          <w:b/>
          <w:bCs/>
          <w:i/>
          <w:iCs/>
          <w:kern w:val="2"/>
          <w:lang w:val="en-US" w:eastAsia="zh-CN"/>
        </w:rPr>
        <w:t>MCS0 and MCS 28 from table1;</w:t>
      </w:r>
    </w:p>
    <w:p>
      <w:pPr>
        <w:pStyle w:val="62"/>
        <w:keepLines w:val="0"/>
        <w:widowControl w:val="0"/>
        <w:spacing w:before="120" w:after="120"/>
        <w:ind w:left="0" w:firstLine="420" w:firstLineChars="0"/>
        <w:rPr>
          <w:rFonts w:hint="eastAsia"/>
          <w:b/>
          <w:bCs/>
          <w:i/>
          <w:iCs/>
          <w:kern w:val="2"/>
          <w:lang w:val="en-US" w:eastAsia="zh-CN"/>
        </w:rPr>
      </w:pPr>
      <w:r>
        <w:rPr>
          <w:rFonts w:hint="eastAsia"/>
          <w:b/>
          <w:bCs/>
          <w:i/>
          <w:iCs/>
          <w:kern w:val="2"/>
          <w:lang w:val="en-US" w:eastAsia="zh-CN"/>
        </w:rPr>
        <w:t>MCS0 and MCS 22 from table2;</w:t>
      </w:r>
    </w:p>
    <w:p>
      <w:pPr>
        <w:pStyle w:val="62"/>
        <w:keepLines w:val="0"/>
        <w:widowControl w:val="0"/>
        <w:spacing w:before="120" w:after="120"/>
        <w:ind w:left="0" w:firstLine="420" w:firstLineChars="0"/>
        <w:rPr>
          <w:rFonts w:hint="eastAsia"/>
          <w:b/>
          <w:bCs/>
          <w:i/>
          <w:iCs/>
          <w:kern w:val="2"/>
          <w:lang w:val="en-US" w:eastAsia="zh-CN"/>
        </w:rPr>
      </w:pPr>
      <w:r>
        <w:rPr>
          <w:rFonts w:hint="eastAsia"/>
          <w:b/>
          <w:bCs/>
          <w:i/>
          <w:iCs/>
          <w:kern w:val="2"/>
          <w:lang w:val="en-US" w:eastAsia="zh-CN"/>
        </w:rPr>
        <w:t>MCS2 and MCS 23 from table2;</w:t>
      </w:r>
    </w:p>
    <w:p>
      <w:pPr>
        <w:pStyle w:val="62"/>
        <w:keepLines w:val="0"/>
        <w:widowControl w:val="0"/>
        <w:spacing w:before="120" w:after="120"/>
        <w:ind w:left="0" w:firstLine="420" w:firstLineChars="0"/>
        <w:rPr>
          <w:rFonts w:hint="default"/>
          <w:lang w:val="en-US" w:eastAsia="zh-CN"/>
        </w:rPr>
      </w:pPr>
      <w:r>
        <w:rPr>
          <w:rFonts w:hint="eastAsia"/>
          <w:b/>
          <w:bCs/>
          <w:i/>
          <w:iCs/>
          <w:kern w:val="2"/>
          <w:lang w:val="en-US" w:eastAsia="zh-CN"/>
        </w:rPr>
        <w:t>MCS1 and MCS 24 from table2.</w:t>
      </w:r>
    </w:p>
    <w:p>
      <w:pPr>
        <w:pStyle w:val="62"/>
        <w:keepLines w:val="0"/>
        <w:widowControl w:val="0"/>
        <w:spacing w:before="120" w:after="120"/>
        <w:ind w:left="0" w:firstLine="0"/>
        <w:rPr>
          <w:rFonts w:hint="eastAsia"/>
          <w:b/>
          <w:bCs/>
          <w:i/>
          <w:iCs/>
          <w:kern w:val="2"/>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pStyle w:val="62"/>
        <w:keepLines w:val="0"/>
        <w:widowControl w:val="0"/>
        <w:spacing w:before="120" w:after="120"/>
        <w:ind w:left="0" w:firstLine="0"/>
        <w:rPr>
          <w:rFonts w:hint="default"/>
          <w:b/>
          <w:bCs/>
          <w:i/>
          <w:iCs/>
          <w:kern w:val="2"/>
          <w:lang w:val="en-US" w:eastAsia="zh-CN"/>
        </w:rPr>
      </w:pPr>
      <w:r>
        <w:rPr>
          <w:rFonts w:hint="eastAsia"/>
          <w:b/>
          <w:bCs/>
          <w:i/>
          <w:iCs/>
          <w:kern w:val="2"/>
          <w:lang w:val="en-US" w:eastAsia="zh-CN"/>
        </w:rPr>
        <w:t>Proposal 1. To confirm that the AWGN channel model in the WF last meeting mean the static channel model defined in B.1.1 in TS 38.101-4.</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Proposal 2. To consider option1 for Tx antenna configuration and rank .</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Observation 1. Both table 1 and table 2 can be used for MCS selection for two CCs with power imbalance less than and close to 25dB.</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3. To consider the following MCS combination for demodulation requirement</w:t>
      </w:r>
    </w:p>
    <w:p>
      <w:pPr>
        <w:pStyle w:val="62"/>
        <w:keepLines w:val="0"/>
        <w:widowControl w:val="0"/>
        <w:spacing w:before="120" w:after="120"/>
        <w:ind w:left="0" w:firstLine="420" w:firstLineChars="0"/>
        <w:rPr>
          <w:rFonts w:hint="eastAsia"/>
          <w:b/>
          <w:bCs/>
          <w:i/>
          <w:iCs/>
          <w:kern w:val="2"/>
          <w:lang w:val="en-US" w:eastAsia="zh-CN"/>
        </w:rPr>
      </w:pPr>
      <w:r>
        <w:rPr>
          <w:rFonts w:hint="eastAsia"/>
          <w:b/>
          <w:bCs/>
          <w:i/>
          <w:iCs/>
          <w:kern w:val="2"/>
          <w:lang w:val="en-US" w:eastAsia="zh-CN"/>
        </w:rPr>
        <w:t>MCS0 and MCS 28 from table1;</w:t>
      </w:r>
    </w:p>
    <w:p>
      <w:pPr>
        <w:pStyle w:val="62"/>
        <w:keepLines w:val="0"/>
        <w:widowControl w:val="0"/>
        <w:spacing w:before="120" w:after="120"/>
        <w:ind w:left="0" w:firstLine="420" w:firstLineChars="0"/>
        <w:rPr>
          <w:rFonts w:hint="eastAsia"/>
          <w:b/>
          <w:bCs/>
          <w:i/>
          <w:iCs/>
          <w:kern w:val="2"/>
          <w:lang w:val="en-US" w:eastAsia="zh-CN"/>
        </w:rPr>
      </w:pPr>
      <w:r>
        <w:rPr>
          <w:rFonts w:hint="eastAsia"/>
          <w:b/>
          <w:bCs/>
          <w:i/>
          <w:iCs/>
          <w:kern w:val="2"/>
          <w:lang w:val="en-US" w:eastAsia="zh-CN"/>
        </w:rPr>
        <w:t>MCS0 and MCS 22 from table2;</w:t>
      </w:r>
    </w:p>
    <w:p>
      <w:pPr>
        <w:pStyle w:val="62"/>
        <w:keepLines w:val="0"/>
        <w:widowControl w:val="0"/>
        <w:spacing w:before="120" w:after="120"/>
        <w:ind w:left="0" w:firstLine="420" w:firstLineChars="0"/>
        <w:rPr>
          <w:rFonts w:hint="eastAsia"/>
          <w:b/>
          <w:bCs/>
          <w:i/>
          <w:iCs/>
          <w:kern w:val="2"/>
          <w:lang w:val="en-US" w:eastAsia="zh-CN"/>
        </w:rPr>
      </w:pPr>
      <w:r>
        <w:rPr>
          <w:rFonts w:hint="eastAsia"/>
          <w:b/>
          <w:bCs/>
          <w:i/>
          <w:iCs/>
          <w:kern w:val="2"/>
          <w:lang w:val="en-US" w:eastAsia="zh-CN"/>
        </w:rPr>
        <w:t>MCS2 and MCS 23 from table2;</w:t>
      </w:r>
    </w:p>
    <w:p>
      <w:pPr>
        <w:pStyle w:val="62"/>
        <w:keepLines w:val="0"/>
        <w:widowControl w:val="0"/>
        <w:spacing w:before="120" w:after="120"/>
        <w:ind w:left="0" w:firstLine="420" w:firstLineChars="0"/>
        <w:rPr>
          <w:rFonts w:hint="default"/>
          <w:lang w:val="en-US" w:eastAsia="zh-CN"/>
        </w:rPr>
      </w:pPr>
      <w:r>
        <w:rPr>
          <w:rFonts w:hint="eastAsia"/>
          <w:b/>
          <w:bCs/>
          <w:i/>
          <w:iCs/>
          <w:kern w:val="2"/>
          <w:lang w:val="en-US" w:eastAsia="zh-CN"/>
        </w:rPr>
        <w:t>MCS1 and MCS 24 from table2.</w:t>
      </w:r>
    </w:p>
    <w:p>
      <w:pPr>
        <w:pStyle w:val="62"/>
        <w:keepLines w:val="0"/>
        <w:widowControl w:val="0"/>
        <w:spacing w:before="120" w:after="120"/>
        <w:ind w:left="0" w:firstLine="420" w:firstLineChars="0"/>
        <w:rPr>
          <w:rFonts w:hint="eastAsia"/>
          <w:b/>
          <w:bCs/>
          <w:i/>
          <w:iCs/>
          <w:color w:val="auto"/>
          <w:kern w:val="2"/>
          <w:lang w:val="en-US" w:eastAsia="zh-CN"/>
        </w:rPr>
      </w:pPr>
      <w:r>
        <w:rPr>
          <w:rFonts w:hint="eastAsia"/>
          <w:b/>
          <w:bCs/>
          <w:i/>
          <w:iCs/>
          <w:color w:val="auto"/>
          <w:kern w:val="2"/>
          <w:lang w:val="en-US" w:eastAsia="zh-CN"/>
        </w:rPr>
        <w:br w:type="page"/>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[1]  R4-2313876, WF for NonCol_intraB_ENDC_NR_CA_Demod, Ericsson</w:t>
      </w:r>
    </w:p>
    <w:p>
      <w:pPr>
        <w:widowControl w:val="0"/>
        <w:tabs>
          <w:tab w:val="left" w:pos="90"/>
          <w:tab w:val="left" w:pos="1868"/>
          <w:tab w:val="right" w:pos="10648"/>
        </w:tabs>
        <w:spacing w:beforeLines="0" w:afterLines="0" w:line="260" w:lineRule="auto"/>
        <w:jc w:val="left"/>
        <w:rPr>
          <w:rFonts w:hint="eastAsia"/>
          <w:sz w:val="20"/>
          <w:lang w:val="en-US" w:eastAsia="zh-CN"/>
        </w:rPr>
      </w:pPr>
    </w:p>
    <w:p>
      <w:pPr>
        <w:rPr>
          <w:rFonts w:hint="eastAsia"/>
          <w:sz w:val="20"/>
          <w:lang w:val="en-US" w:eastAsia="zh-CN"/>
        </w:rPr>
      </w:pPr>
      <w:r>
        <w:rPr>
          <w:rFonts w:hint="eastAsia"/>
          <w:sz w:val="20"/>
          <w:lang w:val="en-US" w:eastAsia="zh-CN"/>
        </w:rPr>
        <w:br w:type="page"/>
      </w:r>
    </w:p>
    <w:p>
      <w:pPr>
        <w:keepNext/>
        <w:keepLines/>
        <w:widowControl w:val="0"/>
        <w:numPr>
          <w:ilvl w:val="0"/>
          <w:numId w:val="8"/>
        </w:numPr>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Annex</w:t>
      </w:r>
    </w:p>
    <w:p>
      <w:pPr>
        <w:jc w:val="center"/>
        <w:rPr>
          <w:rFonts w:hint="default"/>
          <w:lang w:val="en-US" w:eastAsia="zh-CN"/>
        </w:rPr>
      </w:pPr>
      <w:r>
        <w:rPr>
          <w:rFonts w:hint="eastAsia"/>
          <w:lang w:val="en-US" w:eastAsia="zh-CN"/>
        </w:rPr>
        <w:t>Table A-1 Normalized throughput with MCS0(table 1,table 2) and MCS1(table 1)</w:t>
      </w:r>
    </w:p>
    <w:tbl>
      <w:tblPr>
        <w:tblStyle w:val="23"/>
        <w:tblW w:w="56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0"/>
        <w:gridCol w:w="679"/>
        <w:gridCol w:w="704"/>
        <w:gridCol w:w="679"/>
        <w:gridCol w:w="679"/>
        <w:gridCol w:w="679"/>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520" w:type="dxa"/>
            <mc:AlternateContent>
              <mc:Choice Requires="wpsCustomData">
                <wpsCustomData:diagonals>
                  <wpsCustomData:diagonal from="30000" to="10000">
                    <wpsCustomData:border w:val="single" w:color="auto" w:sz="4" w:space="0"/>
                  </wpsCustomData:diagonal>
                </wpsCustomData:diagonals>
              </mc:Choice>
            </mc:AlternateContent>
          </w:tcPr>
          <w:p>
            <w:pPr>
              <w:overflowPunct w:val="0"/>
              <w:autoSpaceDE w:val="0"/>
              <w:autoSpaceDN w:val="0"/>
              <w:adjustRightInd w:val="0"/>
              <w:snapToGrid w:val="0"/>
              <w:spacing w:after="180" w:line="240" w:lineRule="auto"/>
              <w:textAlignment w:val="baseline"/>
              <w:rPr>
                <w:rFonts w:hint="eastAsia"/>
                <w:color w:val="auto"/>
                <w:sz w:val="15"/>
                <w:szCs w:val="15"/>
                <w:vertAlign w:val="baseline"/>
                <w:lang w:val="en-US" w:eastAsia="zh-CN"/>
              </w:rPr>
            </w:pPr>
          </w:p>
          <w:p>
            <w:pPr>
              <w:overflowPunct w:val="0"/>
              <w:autoSpaceDE w:val="0"/>
              <w:autoSpaceDN w:val="0"/>
              <w:adjustRightInd w:val="0"/>
              <w:snapToGrid w:val="0"/>
              <w:spacing w:after="180" w:line="240" w:lineRule="auto"/>
              <w:textAlignment w:val="baseline"/>
              <mc:AlternateContent>
                <mc:Choice Requires="wpsCustomData">
                  <wpsCustomData:diagonalParaType/>
                </mc:Choice>
              </mc:AlternateContent>
              <w:rPr>
                <w:rFonts w:hint="default"/>
                <w:color w:val="auto"/>
                <w:sz w:val="15"/>
                <w:szCs w:val="15"/>
                <w:vertAlign w:val="baseline"/>
                <w:lang w:val="en-US" w:eastAsia="zh-CN"/>
              </w:rPr>
            </w:pPr>
            <w:r>
              <w:rPr>
                <w:rFonts w:hint="eastAsia"/>
                <w:color w:val="auto"/>
                <w:sz w:val="15"/>
                <w:szCs w:val="15"/>
                <w:vertAlign w:val="baseline"/>
                <w:lang w:val="en-US" w:eastAsia="zh-CN"/>
              </w:rPr>
              <w:t xml:space="preserve">MCS         </w:t>
            </w:r>
          </w:p>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SNR</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-4dB</w:t>
            </w:r>
          </w:p>
        </w:tc>
        <w:tc>
          <w:tcPr>
            <w:tcW w:w="704"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-3.8dB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-3.6dB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-3.4dB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-3.2dB</w:t>
            </w:r>
          </w:p>
        </w:tc>
        <w:tc>
          <w:tcPr>
            <w:tcW w:w="704"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0(table 1,table 2)</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61.44</w:t>
            </w:r>
            <w:r>
              <w:rPr>
                <w:rFonts w:hint="eastAsia"/>
                <w:color w:val="auto"/>
                <w:sz w:val="15"/>
                <w:szCs w:val="15"/>
                <w:vertAlign w:val="baseline"/>
                <w:lang w:val="en-US" w:eastAsia="zh-CN"/>
              </w:rPr>
              <w:t>%</w:t>
            </w:r>
          </w:p>
        </w:tc>
        <w:tc>
          <w:tcPr>
            <w:tcW w:w="704" w:type="dxa"/>
          </w:tcPr>
          <w:p>
            <w:pPr>
              <w:overflowPunct w:val="0"/>
              <w:autoSpaceDE w:val="0"/>
              <w:autoSpaceDN w:val="0"/>
              <w:adjustRightInd w:val="0"/>
              <w:spacing w:after="180"/>
              <w:textAlignment w:val="baseline"/>
              <w:rPr>
                <w:rFonts w:hint="default"/>
                <w:b/>
                <w:bCs/>
                <w:color w:val="0000FF"/>
                <w:sz w:val="15"/>
                <w:szCs w:val="15"/>
                <w:vertAlign w:val="baseline"/>
                <w:lang w:val="en-US" w:eastAsia="zh-CN"/>
              </w:rPr>
            </w:pPr>
            <w:r>
              <w:rPr>
                <w:rFonts w:hint="default"/>
                <w:b/>
                <w:bCs/>
                <w:color w:val="0000FF"/>
                <w:sz w:val="15"/>
                <w:szCs w:val="15"/>
                <w:vertAlign w:val="baseline"/>
                <w:lang w:val="en-US" w:eastAsia="zh-CN"/>
              </w:rPr>
              <w:t>85.42</w:t>
            </w:r>
            <w:r>
              <w:rPr>
                <w:rFonts w:hint="eastAsia"/>
                <w:b/>
                <w:bCs/>
                <w:color w:val="0000FF"/>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93.82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96.72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98.32%</w:t>
            </w:r>
          </w:p>
        </w:tc>
        <w:tc>
          <w:tcPr>
            <w:tcW w:w="704"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99.06%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1(table 1)</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0</w:t>
            </w:r>
            <w:r>
              <w:rPr>
                <w:rFonts w:hint="eastAsia"/>
                <w:color w:val="auto"/>
                <w:sz w:val="15"/>
                <w:szCs w:val="15"/>
                <w:vertAlign w:val="baseline"/>
                <w:lang w:val="en-US" w:eastAsia="zh-CN"/>
              </w:rPr>
              <w:t>%</w:t>
            </w:r>
          </w:p>
        </w:tc>
        <w:tc>
          <w:tcPr>
            <w:tcW w:w="704"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0.02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2.64</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21.38%</w:t>
            </w:r>
          </w:p>
        </w:tc>
        <w:tc>
          <w:tcPr>
            <w:tcW w:w="679" w:type="dxa"/>
            <w:vAlign w:val="top"/>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61.38%</w:t>
            </w:r>
          </w:p>
        </w:tc>
        <w:tc>
          <w:tcPr>
            <w:tcW w:w="704" w:type="dxa"/>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15"/>
                <w:szCs w:val="15"/>
                <w:vertAlign w:val="baseline"/>
                <w:lang w:val="en-US" w:eastAsia="zh-CN" w:bidi="ar-SA"/>
              </w:rPr>
            </w:pPr>
            <w:r>
              <w:rPr>
                <w:rFonts w:hint="eastAsia"/>
                <w:b/>
                <w:bCs/>
                <w:color w:val="0000FF"/>
                <w:sz w:val="15"/>
                <w:szCs w:val="15"/>
                <w:vertAlign w:val="baseline"/>
                <w:lang w:val="en-US" w:eastAsia="zh-CN"/>
              </w:rPr>
              <w:t>87.18%</w:t>
            </w:r>
          </w:p>
        </w:tc>
      </w:tr>
    </w:tbl>
    <w:p>
      <w:pPr>
        <w:jc w:val="center"/>
        <w:rPr>
          <w:rFonts w:hint="default"/>
          <w:lang w:val="en-US" w:eastAsia="zh-CN"/>
        </w:rPr>
      </w:pPr>
      <w:r>
        <w:rPr>
          <w:rFonts w:hint="eastAsia"/>
          <w:lang w:val="en-US" w:eastAsia="zh-CN"/>
        </w:rPr>
        <w:t>Table A-2 Normalized throughput with MCS2(table 1) and MCS1(table 2)</w:t>
      </w:r>
    </w:p>
    <w:tbl>
      <w:tblPr>
        <w:tblStyle w:val="23"/>
        <w:tblW w:w="5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676"/>
        <w:gridCol w:w="679"/>
        <w:gridCol w:w="679"/>
        <w:gridCol w:w="704"/>
        <w:gridCol w:w="679"/>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54" w:type="dxa"/>
            <mc:AlternateContent>
              <mc:Choice Requires="wpsCustomData">
                <wpsCustomData:diagonals>
                  <wpsCustomData:diagonal from="30000" to="10000">
                    <wpsCustomData:border w:val="single" w:color="auto" w:sz="4" w:space="0"/>
                  </wpsCustomData:diagonal>
                </wpsCustomData:diagonals>
              </mc:Choice>
            </mc:AlternateContent>
          </w:tcPr>
          <w:p>
            <w:pPr>
              <w:overflowPunct w:val="0"/>
              <w:autoSpaceDE w:val="0"/>
              <w:autoSpaceDN w:val="0"/>
              <w:adjustRightInd w:val="0"/>
              <w:snapToGrid w:val="0"/>
              <w:spacing w:after="180" w:line="240" w:lineRule="auto"/>
              <w:textAlignment w:val="baseline"/>
              <w:rPr>
                <w:rFonts w:hint="eastAsia"/>
                <w:color w:val="auto"/>
                <w:sz w:val="15"/>
                <w:szCs w:val="15"/>
                <w:vertAlign w:val="baseline"/>
                <w:lang w:val="en-US" w:eastAsia="zh-CN"/>
              </w:rPr>
            </w:pPr>
          </w:p>
          <w:p>
            <w:pPr>
              <w:overflowPunct w:val="0"/>
              <w:autoSpaceDE w:val="0"/>
              <w:autoSpaceDN w:val="0"/>
              <w:adjustRightInd w:val="0"/>
              <w:snapToGrid w:val="0"/>
              <w:spacing w:after="180" w:line="240" w:lineRule="auto"/>
              <w:textAlignment w:val="baseline"/>
              <mc:AlternateContent>
                <mc:Choice Requires="wpsCustomData">
                  <wpsCustomData:diagonalParaType/>
                </mc:Choice>
              </mc:AlternateContent>
              <w:rPr>
                <w:rFonts w:hint="default"/>
                <w:color w:val="auto"/>
                <w:sz w:val="15"/>
                <w:szCs w:val="15"/>
                <w:vertAlign w:val="baseline"/>
                <w:lang w:val="en-US" w:eastAsia="zh-CN"/>
              </w:rPr>
            </w:pPr>
            <w:r>
              <w:rPr>
                <w:rFonts w:hint="eastAsia"/>
                <w:color w:val="auto"/>
                <w:sz w:val="15"/>
                <w:szCs w:val="15"/>
                <w:vertAlign w:val="baseline"/>
                <w:lang w:val="en-US" w:eastAsia="zh-CN"/>
              </w:rPr>
              <w:t xml:space="preserve">MCS         </w:t>
            </w:r>
          </w:p>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SNR</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-3dB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-2.8dB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-2.6dB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-2.4dB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4"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2(table 1),</w:t>
            </w:r>
          </w:p>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1(table 2)</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0.20%</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11.58%</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63.26%</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b/>
                <w:bCs/>
                <w:color w:val="0000FF"/>
                <w:sz w:val="15"/>
                <w:szCs w:val="15"/>
                <w:vertAlign w:val="baseline"/>
                <w:lang w:val="en-US" w:eastAsia="zh-CN"/>
              </w:rPr>
              <w:t>9</w:t>
            </w:r>
            <w:r>
              <w:rPr>
                <w:rFonts w:hint="eastAsia"/>
                <w:b/>
                <w:bCs/>
                <w:color w:val="0000FF"/>
                <w:sz w:val="15"/>
                <w:szCs w:val="15"/>
                <w:vertAlign w:val="baseline"/>
                <w:lang w:val="en-US" w:eastAsia="zh-CN"/>
              </w:rPr>
              <w:t>4.28%</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98.44%</w:t>
            </w:r>
          </w:p>
        </w:tc>
        <w:tc>
          <w:tcPr>
            <w:tcW w:w="679"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99.24%</w:t>
            </w:r>
          </w:p>
        </w:tc>
      </w:tr>
    </w:tbl>
    <w:p>
      <w:pPr>
        <w:jc w:val="center"/>
        <w:rPr>
          <w:rFonts w:hint="default"/>
          <w:lang w:val="en-US" w:eastAsia="zh-CN"/>
        </w:rPr>
      </w:pPr>
      <w:r>
        <w:rPr>
          <w:rFonts w:hint="eastAsia"/>
          <w:lang w:val="en-US" w:eastAsia="zh-CN"/>
        </w:rPr>
        <w:t>Table A-3 Normalized throughput with MCS28(table 1) and MCS22(table 2)</w:t>
      </w:r>
    </w:p>
    <w:p>
      <w:pPr>
        <w:rPr>
          <w:rFonts w:hint="default"/>
          <w:lang w:val="en-US" w:eastAsia="zh-CN"/>
        </w:rPr>
      </w:pPr>
    </w:p>
    <w:tbl>
      <w:tblPr>
        <w:tblStyle w:val="23"/>
        <w:tblW w:w="5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679"/>
        <w:gridCol w:w="704"/>
        <w:gridCol w:w="679"/>
        <w:gridCol w:w="678"/>
        <w:gridCol w:w="679"/>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54" w:type="dxa"/>
            <mc:AlternateContent>
              <mc:Choice Requires="wpsCustomData">
                <wpsCustomData:diagonals>
                  <wpsCustomData:diagonal from="30000" to="10000">
                    <wpsCustomData:border w:val="single" w:color="auto" w:sz="4" w:space="0"/>
                  </wpsCustomData:diagonal>
                </wpsCustomData:diagonals>
              </mc:Choice>
            </mc:AlternateContent>
          </w:tcPr>
          <w:p>
            <w:pPr>
              <w:overflowPunct w:val="0"/>
              <w:autoSpaceDE w:val="0"/>
              <w:autoSpaceDN w:val="0"/>
              <w:adjustRightInd w:val="0"/>
              <w:snapToGrid w:val="0"/>
              <w:spacing w:after="180" w:line="240" w:lineRule="auto"/>
              <w:textAlignment w:val="baseline"/>
              <w:rPr>
                <w:rFonts w:hint="eastAsia"/>
                <w:color w:val="auto"/>
                <w:sz w:val="15"/>
                <w:szCs w:val="15"/>
                <w:vertAlign w:val="baseline"/>
                <w:lang w:val="en-US" w:eastAsia="zh-CN"/>
              </w:rPr>
            </w:pPr>
          </w:p>
          <w:p>
            <w:pPr>
              <w:overflowPunct w:val="0"/>
              <w:autoSpaceDE w:val="0"/>
              <w:autoSpaceDN w:val="0"/>
              <w:adjustRightInd w:val="0"/>
              <w:snapToGrid w:val="0"/>
              <w:spacing w:after="180" w:line="240" w:lineRule="auto"/>
              <w:textAlignment w:val="baseline"/>
              <mc:AlternateContent>
                <mc:Choice Requires="wpsCustomData">
                  <wpsCustomData:diagonalParaType/>
                </mc:Choice>
              </mc:AlternateContent>
              <w:rPr>
                <w:rFonts w:hint="default"/>
                <w:color w:val="auto"/>
                <w:sz w:val="15"/>
                <w:szCs w:val="15"/>
                <w:vertAlign w:val="baseline"/>
                <w:lang w:val="en-US" w:eastAsia="zh-CN"/>
              </w:rPr>
            </w:pPr>
            <w:r>
              <w:rPr>
                <w:rFonts w:hint="eastAsia"/>
                <w:color w:val="auto"/>
                <w:sz w:val="15"/>
                <w:szCs w:val="15"/>
                <w:vertAlign w:val="baseline"/>
                <w:lang w:val="en-US" w:eastAsia="zh-CN"/>
              </w:rPr>
              <w:t xml:space="preserve">MCS         </w:t>
            </w:r>
          </w:p>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SNR</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20dB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20.2dB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20.4dB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20.6dB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20.8dB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4"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28(table 1)</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12.88</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b/>
                <w:bCs/>
                <w:color w:val="0000FF"/>
                <w:sz w:val="15"/>
                <w:szCs w:val="15"/>
                <w:vertAlign w:val="baseline"/>
                <w:lang w:val="en-US" w:eastAsia="zh-CN"/>
              </w:rPr>
              <w:t>83.72</w:t>
            </w:r>
            <w:r>
              <w:rPr>
                <w:rFonts w:hint="eastAsia"/>
                <w:b/>
                <w:bCs/>
                <w:color w:val="0000FF"/>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99.40</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100%</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100%</w:t>
            </w:r>
          </w:p>
        </w:tc>
        <w:tc>
          <w:tcPr>
            <w:tcW w:w="679"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4"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22(table 2)</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0</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0.0</w:t>
            </w:r>
            <w:r>
              <w:rPr>
                <w:rFonts w:hint="eastAsia"/>
                <w:color w:val="auto"/>
                <w:sz w:val="15"/>
                <w:szCs w:val="15"/>
                <w:vertAlign w:val="baseline"/>
                <w:lang w:val="en-US" w:eastAsia="zh-CN"/>
              </w:rPr>
              <w:t>4%</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24%</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b/>
                <w:bCs/>
                <w:color w:val="0000FF"/>
                <w:sz w:val="15"/>
                <w:szCs w:val="15"/>
                <w:vertAlign w:val="baseline"/>
                <w:lang w:val="en-US" w:eastAsia="zh-CN"/>
              </w:rPr>
              <w:t>91.8%</w:t>
            </w:r>
          </w:p>
        </w:tc>
        <w:tc>
          <w:tcPr>
            <w:tcW w:w="679" w:type="dxa"/>
            <w:vAlign w:val="top"/>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99.90%</w:t>
            </w:r>
          </w:p>
        </w:tc>
        <w:tc>
          <w:tcPr>
            <w:tcW w:w="679" w:type="dxa"/>
            <w:vAlign w:val="top"/>
          </w:tcPr>
          <w:p>
            <w:pPr>
              <w:overflowPunct w:val="0"/>
              <w:autoSpaceDE w:val="0"/>
              <w:autoSpaceDN w:val="0"/>
              <w:adjustRightInd w:val="0"/>
              <w:spacing w:after="180"/>
              <w:textAlignment w:val="baseline"/>
              <w:rPr>
                <w:rFonts w:hint="eastAsia" w:ascii="Times New Roman" w:hAnsi="Times New Roman" w:eastAsia="宋体" w:cs="Times New Roman"/>
                <w:color w:val="auto"/>
                <w:kern w:val="2"/>
                <w:sz w:val="15"/>
                <w:szCs w:val="15"/>
                <w:vertAlign w:val="baseline"/>
                <w:lang w:val="en-US" w:eastAsia="zh-CN" w:bidi="ar-SA"/>
              </w:rPr>
            </w:pPr>
            <w:r>
              <w:rPr>
                <w:rFonts w:hint="eastAsia"/>
                <w:color w:val="auto"/>
                <w:sz w:val="15"/>
                <w:szCs w:val="15"/>
                <w:vertAlign w:val="baseline"/>
                <w:lang w:val="en-US" w:eastAsia="zh-CN"/>
              </w:rPr>
              <w:t>99.98%</w:t>
            </w:r>
          </w:p>
        </w:tc>
      </w:tr>
    </w:tbl>
    <w:p>
      <w:pPr>
        <w:jc w:val="center"/>
        <w:rPr>
          <w:rFonts w:hint="default"/>
          <w:lang w:val="en-US" w:eastAsia="zh-CN"/>
        </w:rPr>
      </w:pPr>
      <w:r>
        <w:rPr>
          <w:rFonts w:hint="eastAsia"/>
          <w:lang w:val="en-US" w:eastAsia="zh-CN"/>
        </w:rPr>
        <w:t>Table A-4 Normalized throughput with MCS23(table 2)</w:t>
      </w:r>
    </w:p>
    <w:tbl>
      <w:tblPr>
        <w:tblStyle w:val="23"/>
        <w:tblW w:w="5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679"/>
        <w:gridCol w:w="704"/>
        <w:gridCol w:w="679"/>
        <w:gridCol w:w="679"/>
        <w:gridCol w:w="679"/>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54" w:type="dxa"/>
            <mc:AlternateContent>
              <mc:Choice Requires="wpsCustomData">
                <wpsCustomData:diagonals>
                  <wpsCustomData:diagonal from="30000" to="10000">
                    <wpsCustomData:border w:val="single" w:color="auto" w:sz="4" w:space="0"/>
                  </wpsCustomData:diagonal>
                </wpsCustomData:diagonals>
              </mc:Choice>
            </mc:AlternateContent>
          </w:tcPr>
          <w:p>
            <w:pPr>
              <w:overflowPunct w:val="0"/>
              <w:autoSpaceDE w:val="0"/>
              <w:autoSpaceDN w:val="0"/>
              <w:adjustRightInd w:val="0"/>
              <w:snapToGrid w:val="0"/>
              <w:spacing w:after="180" w:line="240" w:lineRule="auto"/>
              <w:textAlignment w:val="baseline"/>
              <w:rPr>
                <w:rFonts w:hint="eastAsia"/>
                <w:color w:val="auto"/>
                <w:sz w:val="15"/>
                <w:szCs w:val="15"/>
                <w:vertAlign w:val="baseline"/>
                <w:lang w:val="en-US" w:eastAsia="zh-CN"/>
              </w:rPr>
            </w:pPr>
          </w:p>
          <w:p>
            <w:pPr>
              <w:overflowPunct w:val="0"/>
              <w:autoSpaceDE w:val="0"/>
              <w:autoSpaceDN w:val="0"/>
              <w:adjustRightInd w:val="0"/>
              <w:snapToGrid w:val="0"/>
              <w:spacing w:after="180" w:line="240" w:lineRule="auto"/>
              <w:textAlignment w:val="baseline"/>
              <mc:AlternateContent>
                <mc:Choice Requires="wpsCustomData">
                  <wpsCustomData:diagonalParaType/>
                </mc:Choice>
              </mc:AlternateContent>
              <w:rPr>
                <w:rFonts w:hint="default"/>
                <w:color w:val="auto"/>
                <w:sz w:val="15"/>
                <w:szCs w:val="15"/>
                <w:vertAlign w:val="baseline"/>
                <w:lang w:val="en-US" w:eastAsia="zh-CN"/>
              </w:rPr>
            </w:pPr>
            <w:r>
              <w:rPr>
                <w:rFonts w:hint="eastAsia"/>
                <w:color w:val="auto"/>
                <w:sz w:val="15"/>
                <w:szCs w:val="15"/>
                <w:vertAlign w:val="baseline"/>
                <w:lang w:val="en-US" w:eastAsia="zh-CN"/>
              </w:rPr>
              <w:t xml:space="preserve">MCS         </w:t>
            </w:r>
          </w:p>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SNR</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21.2dB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21.4dB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21.6dB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21.8dB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4"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23(table 2)</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61.44</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b/>
                <w:bCs/>
                <w:color w:val="0000FF"/>
                <w:sz w:val="15"/>
                <w:szCs w:val="15"/>
                <w:vertAlign w:val="baseline"/>
                <w:lang w:val="en-US" w:eastAsia="zh-CN"/>
              </w:rPr>
            </w:pPr>
            <w:r>
              <w:rPr>
                <w:rFonts w:hint="default"/>
                <w:b/>
                <w:bCs/>
                <w:color w:val="0000FF"/>
                <w:sz w:val="15"/>
                <w:szCs w:val="15"/>
                <w:vertAlign w:val="baseline"/>
                <w:lang w:val="en-US" w:eastAsia="zh-CN"/>
              </w:rPr>
              <w:t>85.42</w:t>
            </w:r>
            <w:r>
              <w:rPr>
                <w:rFonts w:hint="eastAsia"/>
                <w:b/>
                <w:bCs/>
                <w:color w:val="0000FF"/>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93.82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96.72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98.32%</w:t>
            </w:r>
          </w:p>
        </w:tc>
        <w:tc>
          <w:tcPr>
            <w:tcW w:w="679"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99.06%</w:t>
            </w:r>
          </w:p>
        </w:tc>
      </w:tr>
    </w:tbl>
    <w:p>
      <w:pPr>
        <w:jc w:val="center"/>
        <w:rPr>
          <w:rFonts w:hint="default"/>
          <w:lang w:val="en-US" w:eastAsia="zh-CN"/>
        </w:rPr>
      </w:pPr>
      <w:r>
        <w:rPr>
          <w:rFonts w:hint="eastAsia"/>
          <w:lang w:val="en-US" w:eastAsia="zh-CN"/>
        </w:rPr>
        <w:t>Table A-5 Normalized throughput with MCS24(table 2)</w:t>
      </w:r>
    </w:p>
    <w:tbl>
      <w:tblPr>
        <w:tblStyle w:val="23"/>
        <w:tblW w:w="52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679"/>
        <w:gridCol w:w="679"/>
        <w:gridCol w:w="679"/>
        <w:gridCol w:w="679"/>
        <w:gridCol w:w="679"/>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154" w:type="dxa"/>
            <mc:AlternateContent>
              <mc:Choice Requires="wpsCustomData">
                <wpsCustomData:diagonals>
                  <wpsCustomData:diagonal from="30000" to="10000">
                    <wpsCustomData:border w:val="single" w:color="auto" w:sz="4" w:space="0"/>
                  </wpsCustomData:diagonal>
                </wpsCustomData:diagonals>
              </mc:Choice>
            </mc:AlternateContent>
          </w:tcPr>
          <w:p>
            <w:pPr>
              <w:overflowPunct w:val="0"/>
              <w:autoSpaceDE w:val="0"/>
              <w:autoSpaceDN w:val="0"/>
              <w:adjustRightInd w:val="0"/>
              <w:snapToGrid w:val="0"/>
              <w:spacing w:after="180" w:line="240" w:lineRule="auto"/>
              <w:textAlignment w:val="baseline"/>
              <w:rPr>
                <w:rFonts w:hint="eastAsia"/>
                <w:color w:val="auto"/>
                <w:sz w:val="15"/>
                <w:szCs w:val="15"/>
                <w:vertAlign w:val="baseline"/>
                <w:lang w:val="en-US" w:eastAsia="zh-CN"/>
              </w:rPr>
            </w:pPr>
          </w:p>
          <w:p>
            <w:pPr>
              <w:overflowPunct w:val="0"/>
              <w:autoSpaceDE w:val="0"/>
              <w:autoSpaceDN w:val="0"/>
              <w:adjustRightInd w:val="0"/>
              <w:snapToGrid w:val="0"/>
              <w:spacing w:after="180" w:line="240" w:lineRule="auto"/>
              <w:textAlignment w:val="baseline"/>
              <mc:AlternateContent>
                <mc:Choice Requires="wpsCustomData">
                  <wpsCustomData:diagonalParaType/>
                </mc:Choice>
              </mc:AlternateContent>
              <w:rPr>
                <w:rFonts w:hint="default"/>
                <w:color w:val="auto"/>
                <w:sz w:val="15"/>
                <w:szCs w:val="15"/>
                <w:vertAlign w:val="baseline"/>
                <w:lang w:val="en-US" w:eastAsia="zh-CN"/>
              </w:rPr>
            </w:pPr>
            <w:r>
              <w:rPr>
                <w:rFonts w:hint="eastAsia"/>
                <w:color w:val="auto"/>
                <w:sz w:val="15"/>
                <w:szCs w:val="15"/>
                <w:vertAlign w:val="baseline"/>
                <w:lang w:val="en-US" w:eastAsia="zh-CN"/>
              </w:rPr>
              <w:t xml:space="preserve">MCS         </w:t>
            </w:r>
          </w:p>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SNR</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22.2dB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22.4dB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22.6dB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22.8dB</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23dB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4"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24(table 2)</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61.44</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b/>
                <w:bCs/>
                <w:color w:val="0000FF"/>
                <w:sz w:val="15"/>
                <w:szCs w:val="15"/>
                <w:vertAlign w:val="baseline"/>
                <w:lang w:val="en-US" w:eastAsia="zh-CN"/>
              </w:rPr>
              <w:t>85.42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93.82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default"/>
                <w:color w:val="auto"/>
                <w:sz w:val="15"/>
                <w:szCs w:val="15"/>
                <w:vertAlign w:val="baseline"/>
                <w:lang w:val="en-US" w:eastAsia="zh-CN"/>
              </w:rPr>
              <w:t>96.72</w:t>
            </w:r>
            <w:r>
              <w:rPr>
                <w:rFonts w:hint="eastAsia"/>
                <w:color w:val="auto"/>
                <w:sz w:val="15"/>
                <w:szCs w:val="15"/>
                <w:vertAlign w:val="baseline"/>
                <w:lang w:val="en-US" w:eastAsia="zh-CN"/>
              </w:rPr>
              <w:t>%</w:t>
            </w:r>
          </w:p>
        </w:tc>
        <w:tc>
          <w:tcPr>
            <w:tcW w:w="679" w:type="dxa"/>
          </w:tcPr>
          <w:p>
            <w:pPr>
              <w:overflowPunct w:val="0"/>
              <w:autoSpaceDE w:val="0"/>
              <w:autoSpaceDN w:val="0"/>
              <w:adjustRightInd w:val="0"/>
              <w:spacing w:after="180"/>
              <w:textAlignment w:val="baseline"/>
              <w:rPr>
                <w:rFonts w:hint="default"/>
                <w:color w:val="auto"/>
                <w:sz w:val="15"/>
                <w:szCs w:val="15"/>
                <w:vertAlign w:val="baseline"/>
                <w:lang w:val="en-US" w:eastAsia="zh-CN"/>
              </w:rPr>
            </w:pPr>
            <w:r>
              <w:rPr>
                <w:rFonts w:hint="eastAsia"/>
                <w:color w:val="auto"/>
                <w:sz w:val="15"/>
                <w:szCs w:val="15"/>
                <w:vertAlign w:val="baseline"/>
                <w:lang w:val="en-US" w:eastAsia="zh-CN"/>
              </w:rPr>
              <w:t>98.32%</w:t>
            </w:r>
          </w:p>
        </w:tc>
        <w:tc>
          <w:tcPr>
            <w:tcW w:w="679" w:type="dxa"/>
          </w:tcPr>
          <w:p>
            <w:pPr>
              <w:overflowPunct w:val="0"/>
              <w:autoSpaceDE w:val="0"/>
              <w:autoSpaceDN w:val="0"/>
              <w:adjustRightInd w:val="0"/>
              <w:spacing w:after="180"/>
              <w:textAlignment w:val="baseline"/>
              <w:rPr>
                <w:rFonts w:hint="eastAsia"/>
                <w:color w:val="auto"/>
                <w:sz w:val="15"/>
                <w:szCs w:val="15"/>
                <w:vertAlign w:val="baseline"/>
                <w:lang w:val="en-US" w:eastAsia="zh-CN"/>
              </w:rPr>
            </w:pPr>
            <w:r>
              <w:rPr>
                <w:rFonts w:hint="eastAsia"/>
                <w:color w:val="auto"/>
                <w:sz w:val="15"/>
                <w:szCs w:val="15"/>
                <w:vertAlign w:val="baseline"/>
                <w:lang w:val="en-US" w:eastAsia="zh-CN"/>
              </w:rPr>
              <w:t>99.06%</w:t>
            </w:r>
          </w:p>
        </w:tc>
      </w:tr>
    </w:tbl>
    <w:p>
      <w:pPr>
        <w:rPr>
          <w:rFonts w:hint="default"/>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5CEA3A78"/>
    <w:multiLevelType w:val="multilevel"/>
    <w:tmpl w:val="5CEA3A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7584DBF"/>
    <w:multiLevelType w:val="singleLevel"/>
    <w:tmpl w:val="67584DBF"/>
    <w:lvl w:ilvl="0" w:tentative="0">
      <w:start w:val="5"/>
      <w:numFmt w:val="decimal"/>
      <w:lvlText w:val="%1"/>
      <w:lvlJc w:val="left"/>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1C2E02"/>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824DC"/>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B0F39"/>
    <w:rsid w:val="04A65723"/>
    <w:rsid w:val="04A65EB3"/>
    <w:rsid w:val="04B14B03"/>
    <w:rsid w:val="04D739DC"/>
    <w:rsid w:val="04DA1A87"/>
    <w:rsid w:val="04DE2DA3"/>
    <w:rsid w:val="04DF68B6"/>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54435"/>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66BD1"/>
    <w:rsid w:val="06DF4C13"/>
    <w:rsid w:val="06E7678C"/>
    <w:rsid w:val="06F42A88"/>
    <w:rsid w:val="06F801C0"/>
    <w:rsid w:val="07105178"/>
    <w:rsid w:val="0712124C"/>
    <w:rsid w:val="07151A9F"/>
    <w:rsid w:val="071C13A8"/>
    <w:rsid w:val="073D143C"/>
    <w:rsid w:val="074855FD"/>
    <w:rsid w:val="07627CA0"/>
    <w:rsid w:val="076319C4"/>
    <w:rsid w:val="076925D2"/>
    <w:rsid w:val="077241E3"/>
    <w:rsid w:val="078B14FC"/>
    <w:rsid w:val="078B1A95"/>
    <w:rsid w:val="078C5933"/>
    <w:rsid w:val="078D336C"/>
    <w:rsid w:val="07971B3F"/>
    <w:rsid w:val="07983294"/>
    <w:rsid w:val="079F1838"/>
    <w:rsid w:val="07A2030D"/>
    <w:rsid w:val="07A5677E"/>
    <w:rsid w:val="07B51934"/>
    <w:rsid w:val="07B9290D"/>
    <w:rsid w:val="07BE52B9"/>
    <w:rsid w:val="07BF184E"/>
    <w:rsid w:val="07C232CF"/>
    <w:rsid w:val="07C32C10"/>
    <w:rsid w:val="07C55A1A"/>
    <w:rsid w:val="07D57946"/>
    <w:rsid w:val="07EC3358"/>
    <w:rsid w:val="07ED524D"/>
    <w:rsid w:val="07EF5756"/>
    <w:rsid w:val="080124E3"/>
    <w:rsid w:val="080C7FA0"/>
    <w:rsid w:val="08193C24"/>
    <w:rsid w:val="08234820"/>
    <w:rsid w:val="08283516"/>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3C36F4"/>
    <w:rsid w:val="09445E95"/>
    <w:rsid w:val="09543B3B"/>
    <w:rsid w:val="09600FBD"/>
    <w:rsid w:val="0972595C"/>
    <w:rsid w:val="098143BC"/>
    <w:rsid w:val="098500F1"/>
    <w:rsid w:val="09B060BF"/>
    <w:rsid w:val="09BD407A"/>
    <w:rsid w:val="09DA0E26"/>
    <w:rsid w:val="09E55691"/>
    <w:rsid w:val="09F062F6"/>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BB2D7D"/>
    <w:rsid w:val="0AC01F88"/>
    <w:rsid w:val="0AC0212C"/>
    <w:rsid w:val="0ACE5B04"/>
    <w:rsid w:val="0AD542C1"/>
    <w:rsid w:val="0ADD5A20"/>
    <w:rsid w:val="0AE10FD9"/>
    <w:rsid w:val="0AF13898"/>
    <w:rsid w:val="0AFB3228"/>
    <w:rsid w:val="0AFC6C07"/>
    <w:rsid w:val="0B0025CC"/>
    <w:rsid w:val="0B0250FD"/>
    <w:rsid w:val="0B0F025C"/>
    <w:rsid w:val="0B1A6333"/>
    <w:rsid w:val="0B1F6D32"/>
    <w:rsid w:val="0B2713F4"/>
    <w:rsid w:val="0B3D1C8E"/>
    <w:rsid w:val="0B3D701F"/>
    <w:rsid w:val="0B3E7DD7"/>
    <w:rsid w:val="0B561995"/>
    <w:rsid w:val="0B5C2C2A"/>
    <w:rsid w:val="0B665E0A"/>
    <w:rsid w:val="0B6A3C32"/>
    <w:rsid w:val="0B72402A"/>
    <w:rsid w:val="0B743FE2"/>
    <w:rsid w:val="0B847B39"/>
    <w:rsid w:val="0B987E20"/>
    <w:rsid w:val="0B9E71DF"/>
    <w:rsid w:val="0BAD5CC5"/>
    <w:rsid w:val="0BAD5EDC"/>
    <w:rsid w:val="0BAF59B9"/>
    <w:rsid w:val="0BB524B8"/>
    <w:rsid w:val="0BB756DF"/>
    <w:rsid w:val="0BC3647F"/>
    <w:rsid w:val="0BC63DB2"/>
    <w:rsid w:val="0BCC4043"/>
    <w:rsid w:val="0BCC4B6A"/>
    <w:rsid w:val="0BDC04F4"/>
    <w:rsid w:val="0BF916CE"/>
    <w:rsid w:val="0C04318C"/>
    <w:rsid w:val="0C0A1662"/>
    <w:rsid w:val="0C1A119A"/>
    <w:rsid w:val="0C1E494F"/>
    <w:rsid w:val="0C3427D0"/>
    <w:rsid w:val="0C43327D"/>
    <w:rsid w:val="0C4426AF"/>
    <w:rsid w:val="0C4577EC"/>
    <w:rsid w:val="0C4F7881"/>
    <w:rsid w:val="0C5332CA"/>
    <w:rsid w:val="0C5C6396"/>
    <w:rsid w:val="0C63431B"/>
    <w:rsid w:val="0C650A20"/>
    <w:rsid w:val="0C690EFA"/>
    <w:rsid w:val="0C6E11B8"/>
    <w:rsid w:val="0C6F1666"/>
    <w:rsid w:val="0C723CD1"/>
    <w:rsid w:val="0C8B63A3"/>
    <w:rsid w:val="0CA3502C"/>
    <w:rsid w:val="0CB94808"/>
    <w:rsid w:val="0CC37BC2"/>
    <w:rsid w:val="0CD87ABE"/>
    <w:rsid w:val="0CE26C42"/>
    <w:rsid w:val="0CE632FF"/>
    <w:rsid w:val="0CE76B48"/>
    <w:rsid w:val="0CEB5DBE"/>
    <w:rsid w:val="0CF06BF8"/>
    <w:rsid w:val="0CFB523A"/>
    <w:rsid w:val="0D1B1E9C"/>
    <w:rsid w:val="0D410DD6"/>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5C6970"/>
    <w:rsid w:val="0E6271DF"/>
    <w:rsid w:val="0E81568A"/>
    <w:rsid w:val="0E942250"/>
    <w:rsid w:val="0E963344"/>
    <w:rsid w:val="0E9E6E00"/>
    <w:rsid w:val="0EA40C1C"/>
    <w:rsid w:val="0EB72E4B"/>
    <w:rsid w:val="0EDA509E"/>
    <w:rsid w:val="0EEC6F1D"/>
    <w:rsid w:val="0F103291"/>
    <w:rsid w:val="0F1D498B"/>
    <w:rsid w:val="0F1E5A47"/>
    <w:rsid w:val="0F337178"/>
    <w:rsid w:val="0F3B15FC"/>
    <w:rsid w:val="0F41022A"/>
    <w:rsid w:val="0F56743B"/>
    <w:rsid w:val="0F60682C"/>
    <w:rsid w:val="0F6763D9"/>
    <w:rsid w:val="0F6E5243"/>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93252F"/>
    <w:rsid w:val="10C715C5"/>
    <w:rsid w:val="10CF7617"/>
    <w:rsid w:val="10D335EF"/>
    <w:rsid w:val="10E746EA"/>
    <w:rsid w:val="10E83FE0"/>
    <w:rsid w:val="10EC3168"/>
    <w:rsid w:val="10F52718"/>
    <w:rsid w:val="114028DC"/>
    <w:rsid w:val="1141355F"/>
    <w:rsid w:val="1151152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E65320"/>
    <w:rsid w:val="11F92DAB"/>
    <w:rsid w:val="11FC38D5"/>
    <w:rsid w:val="1210682D"/>
    <w:rsid w:val="12243EB6"/>
    <w:rsid w:val="122F4E3A"/>
    <w:rsid w:val="123A05DB"/>
    <w:rsid w:val="124240B9"/>
    <w:rsid w:val="124D0988"/>
    <w:rsid w:val="12680E73"/>
    <w:rsid w:val="12763466"/>
    <w:rsid w:val="12783066"/>
    <w:rsid w:val="127E5AA6"/>
    <w:rsid w:val="128B2749"/>
    <w:rsid w:val="129019B5"/>
    <w:rsid w:val="129811DB"/>
    <w:rsid w:val="129937EE"/>
    <w:rsid w:val="129E6282"/>
    <w:rsid w:val="12AB7A32"/>
    <w:rsid w:val="12BB6535"/>
    <w:rsid w:val="12BC5A21"/>
    <w:rsid w:val="12BE00A8"/>
    <w:rsid w:val="12C43912"/>
    <w:rsid w:val="12C43A00"/>
    <w:rsid w:val="12C7312B"/>
    <w:rsid w:val="12D22971"/>
    <w:rsid w:val="12D85654"/>
    <w:rsid w:val="12DF4A87"/>
    <w:rsid w:val="12EE5106"/>
    <w:rsid w:val="12F41461"/>
    <w:rsid w:val="1307341C"/>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96F48"/>
    <w:rsid w:val="139D3156"/>
    <w:rsid w:val="13AA5FA1"/>
    <w:rsid w:val="13AE08F8"/>
    <w:rsid w:val="13AF6488"/>
    <w:rsid w:val="13C20262"/>
    <w:rsid w:val="13D024B3"/>
    <w:rsid w:val="13D115EF"/>
    <w:rsid w:val="13D86A45"/>
    <w:rsid w:val="13DD445E"/>
    <w:rsid w:val="13DE7C83"/>
    <w:rsid w:val="13F3590D"/>
    <w:rsid w:val="13F56F67"/>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60B42"/>
    <w:rsid w:val="14EA1C4D"/>
    <w:rsid w:val="14F14F3B"/>
    <w:rsid w:val="150222BF"/>
    <w:rsid w:val="150F7C33"/>
    <w:rsid w:val="1515004B"/>
    <w:rsid w:val="151B7C99"/>
    <w:rsid w:val="15207BBA"/>
    <w:rsid w:val="152B44F4"/>
    <w:rsid w:val="152F4E1B"/>
    <w:rsid w:val="15362171"/>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3E09F1"/>
    <w:rsid w:val="17416499"/>
    <w:rsid w:val="17481B81"/>
    <w:rsid w:val="17481E8B"/>
    <w:rsid w:val="1748709D"/>
    <w:rsid w:val="174A69B0"/>
    <w:rsid w:val="175007ED"/>
    <w:rsid w:val="175310BE"/>
    <w:rsid w:val="176B45C6"/>
    <w:rsid w:val="176B5780"/>
    <w:rsid w:val="176C447F"/>
    <w:rsid w:val="17850F99"/>
    <w:rsid w:val="17875303"/>
    <w:rsid w:val="178815C4"/>
    <w:rsid w:val="1793626E"/>
    <w:rsid w:val="17991452"/>
    <w:rsid w:val="17A875F5"/>
    <w:rsid w:val="17B5256D"/>
    <w:rsid w:val="17B92501"/>
    <w:rsid w:val="17CC1970"/>
    <w:rsid w:val="17E02897"/>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513F6"/>
    <w:rsid w:val="18C9089D"/>
    <w:rsid w:val="18CA40C3"/>
    <w:rsid w:val="18CD7A02"/>
    <w:rsid w:val="18ED46F4"/>
    <w:rsid w:val="19001FFC"/>
    <w:rsid w:val="190D51C6"/>
    <w:rsid w:val="190E2B4A"/>
    <w:rsid w:val="191D47DA"/>
    <w:rsid w:val="191F7D1E"/>
    <w:rsid w:val="19256D7A"/>
    <w:rsid w:val="192A7C07"/>
    <w:rsid w:val="193275C2"/>
    <w:rsid w:val="193C7A51"/>
    <w:rsid w:val="194D2005"/>
    <w:rsid w:val="19655A52"/>
    <w:rsid w:val="19663168"/>
    <w:rsid w:val="196D3E9E"/>
    <w:rsid w:val="197724BD"/>
    <w:rsid w:val="19786B0A"/>
    <w:rsid w:val="197E59C1"/>
    <w:rsid w:val="198A41A1"/>
    <w:rsid w:val="199A2059"/>
    <w:rsid w:val="19A638E8"/>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9F3E9C"/>
    <w:rsid w:val="1AA2105D"/>
    <w:rsid w:val="1AA57BA7"/>
    <w:rsid w:val="1AA74D3D"/>
    <w:rsid w:val="1AB34DB4"/>
    <w:rsid w:val="1AB613FD"/>
    <w:rsid w:val="1ACF5EB8"/>
    <w:rsid w:val="1AD26086"/>
    <w:rsid w:val="1ADD5ACE"/>
    <w:rsid w:val="1AE013F8"/>
    <w:rsid w:val="1AE2274E"/>
    <w:rsid w:val="1AE8570C"/>
    <w:rsid w:val="1AEE6FEB"/>
    <w:rsid w:val="1AF54203"/>
    <w:rsid w:val="1AFB06A3"/>
    <w:rsid w:val="1B0F19AE"/>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609E0"/>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9B5AF3"/>
    <w:rsid w:val="1CA03243"/>
    <w:rsid w:val="1CAF5DB2"/>
    <w:rsid w:val="1CB0014A"/>
    <w:rsid w:val="1CB40DF1"/>
    <w:rsid w:val="1CC41B63"/>
    <w:rsid w:val="1CC6195D"/>
    <w:rsid w:val="1CCC26CA"/>
    <w:rsid w:val="1CD2156B"/>
    <w:rsid w:val="1CD41743"/>
    <w:rsid w:val="1CD44D3D"/>
    <w:rsid w:val="1CE45EF5"/>
    <w:rsid w:val="1CE615C9"/>
    <w:rsid w:val="1CFA05C9"/>
    <w:rsid w:val="1CFA692A"/>
    <w:rsid w:val="1D037029"/>
    <w:rsid w:val="1D233471"/>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6725E"/>
    <w:rsid w:val="1E273844"/>
    <w:rsid w:val="1E29236B"/>
    <w:rsid w:val="1E2F243E"/>
    <w:rsid w:val="1E3B4F6B"/>
    <w:rsid w:val="1E455D19"/>
    <w:rsid w:val="1E502667"/>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93B01"/>
    <w:rsid w:val="1F0E5D6B"/>
    <w:rsid w:val="1F121431"/>
    <w:rsid w:val="1F3218E8"/>
    <w:rsid w:val="1F3E662A"/>
    <w:rsid w:val="1F4B46FD"/>
    <w:rsid w:val="1F4F2219"/>
    <w:rsid w:val="1F5115DB"/>
    <w:rsid w:val="1F51238F"/>
    <w:rsid w:val="1F5353B6"/>
    <w:rsid w:val="1F614D01"/>
    <w:rsid w:val="1F721405"/>
    <w:rsid w:val="1F804693"/>
    <w:rsid w:val="1F825709"/>
    <w:rsid w:val="1F935819"/>
    <w:rsid w:val="1FA6556D"/>
    <w:rsid w:val="1FAF2571"/>
    <w:rsid w:val="1FB66DAA"/>
    <w:rsid w:val="1FC55EDA"/>
    <w:rsid w:val="1FCE593C"/>
    <w:rsid w:val="1FE312AC"/>
    <w:rsid w:val="1FEC5915"/>
    <w:rsid w:val="1FED32EF"/>
    <w:rsid w:val="201E6D7C"/>
    <w:rsid w:val="20446081"/>
    <w:rsid w:val="204852AD"/>
    <w:rsid w:val="204B330F"/>
    <w:rsid w:val="204E6676"/>
    <w:rsid w:val="205A5AA0"/>
    <w:rsid w:val="20773A28"/>
    <w:rsid w:val="208115A6"/>
    <w:rsid w:val="208574F4"/>
    <w:rsid w:val="208C4449"/>
    <w:rsid w:val="208F6BAF"/>
    <w:rsid w:val="20A462BA"/>
    <w:rsid w:val="20A7228C"/>
    <w:rsid w:val="20BF2AAC"/>
    <w:rsid w:val="20C849C7"/>
    <w:rsid w:val="20DF66D2"/>
    <w:rsid w:val="20EC3F2E"/>
    <w:rsid w:val="20EC7C3E"/>
    <w:rsid w:val="210548E9"/>
    <w:rsid w:val="21124D15"/>
    <w:rsid w:val="211C6B81"/>
    <w:rsid w:val="213E7119"/>
    <w:rsid w:val="21530058"/>
    <w:rsid w:val="21732704"/>
    <w:rsid w:val="21810744"/>
    <w:rsid w:val="218D6EF5"/>
    <w:rsid w:val="2195668B"/>
    <w:rsid w:val="219F69EC"/>
    <w:rsid w:val="21A130EA"/>
    <w:rsid w:val="21AB278B"/>
    <w:rsid w:val="21C267BF"/>
    <w:rsid w:val="21CD6BCD"/>
    <w:rsid w:val="21CE6067"/>
    <w:rsid w:val="21CF439A"/>
    <w:rsid w:val="21D55704"/>
    <w:rsid w:val="21F00127"/>
    <w:rsid w:val="220602B9"/>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72CF0"/>
    <w:rsid w:val="239C062C"/>
    <w:rsid w:val="23A9484E"/>
    <w:rsid w:val="23B32F98"/>
    <w:rsid w:val="23B84268"/>
    <w:rsid w:val="23C2366E"/>
    <w:rsid w:val="23D17D7B"/>
    <w:rsid w:val="23D36D91"/>
    <w:rsid w:val="23F70BA5"/>
    <w:rsid w:val="23F93D0D"/>
    <w:rsid w:val="2405417E"/>
    <w:rsid w:val="241B5C62"/>
    <w:rsid w:val="2430498A"/>
    <w:rsid w:val="24342C37"/>
    <w:rsid w:val="24352A14"/>
    <w:rsid w:val="243B2F20"/>
    <w:rsid w:val="2458381E"/>
    <w:rsid w:val="245872F9"/>
    <w:rsid w:val="245943D9"/>
    <w:rsid w:val="245E6B64"/>
    <w:rsid w:val="2463385E"/>
    <w:rsid w:val="248F4B88"/>
    <w:rsid w:val="24967323"/>
    <w:rsid w:val="249D5FC8"/>
    <w:rsid w:val="24A1538E"/>
    <w:rsid w:val="24B44C90"/>
    <w:rsid w:val="24B9450F"/>
    <w:rsid w:val="24C83F94"/>
    <w:rsid w:val="24F41769"/>
    <w:rsid w:val="24F60CDA"/>
    <w:rsid w:val="24FE42EB"/>
    <w:rsid w:val="250D450C"/>
    <w:rsid w:val="25134332"/>
    <w:rsid w:val="25141A5B"/>
    <w:rsid w:val="2521546A"/>
    <w:rsid w:val="252242ED"/>
    <w:rsid w:val="252A2BA6"/>
    <w:rsid w:val="252B49E0"/>
    <w:rsid w:val="25313476"/>
    <w:rsid w:val="25345E3D"/>
    <w:rsid w:val="254A35DD"/>
    <w:rsid w:val="25657E8F"/>
    <w:rsid w:val="25734B61"/>
    <w:rsid w:val="258129C3"/>
    <w:rsid w:val="258F6BC4"/>
    <w:rsid w:val="25975923"/>
    <w:rsid w:val="259A3D0A"/>
    <w:rsid w:val="259F2704"/>
    <w:rsid w:val="25A95F3E"/>
    <w:rsid w:val="25BF6041"/>
    <w:rsid w:val="25C35718"/>
    <w:rsid w:val="25CF0252"/>
    <w:rsid w:val="25D0248E"/>
    <w:rsid w:val="25D61C5C"/>
    <w:rsid w:val="25DB6446"/>
    <w:rsid w:val="25E50DA2"/>
    <w:rsid w:val="25F81D70"/>
    <w:rsid w:val="25FB5636"/>
    <w:rsid w:val="25FE58A9"/>
    <w:rsid w:val="26070462"/>
    <w:rsid w:val="260D2C45"/>
    <w:rsid w:val="26395C92"/>
    <w:rsid w:val="26427CA6"/>
    <w:rsid w:val="26465DA0"/>
    <w:rsid w:val="265A5249"/>
    <w:rsid w:val="266237C3"/>
    <w:rsid w:val="267550B9"/>
    <w:rsid w:val="26904F74"/>
    <w:rsid w:val="26942D1C"/>
    <w:rsid w:val="26B020D4"/>
    <w:rsid w:val="26C472EC"/>
    <w:rsid w:val="26EC491A"/>
    <w:rsid w:val="26ED73E1"/>
    <w:rsid w:val="26F503CD"/>
    <w:rsid w:val="27036506"/>
    <w:rsid w:val="27047832"/>
    <w:rsid w:val="2706037D"/>
    <w:rsid w:val="270D152E"/>
    <w:rsid w:val="27204B5D"/>
    <w:rsid w:val="27217DBD"/>
    <w:rsid w:val="27220F15"/>
    <w:rsid w:val="272F31A0"/>
    <w:rsid w:val="27310CAC"/>
    <w:rsid w:val="27342901"/>
    <w:rsid w:val="273D2762"/>
    <w:rsid w:val="27470B72"/>
    <w:rsid w:val="2750457D"/>
    <w:rsid w:val="27525E32"/>
    <w:rsid w:val="27604751"/>
    <w:rsid w:val="2778582E"/>
    <w:rsid w:val="27806765"/>
    <w:rsid w:val="27832596"/>
    <w:rsid w:val="278C1620"/>
    <w:rsid w:val="278C5523"/>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BD7D12"/>
    <w:rsid w:val="28C96C14"/>
    <w:rsid w:val="28E138E3"/>
    <w:rsid w:val="28E74216"/>
    <w:rsid w:val="28E87EE4"/>
    <w:rsid w:val="28FE42C1"/>
    <w:rsid w:val="28FF2940"/>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1A045D"/>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016B3"/>
    <w:rsid w:val="2B514803"/>
    <w:rsid w:val="2B637D4B"/>
    <w:rsid w:val="2B6B1684"/>
    <w:rsid w:val="2B7B70BF"/>
    <w:rsid w:val="2B7C012E"/>
    <w:rsid w:val="2B7E4C41"/>
    <w:rsid w:val="2B853AF3"/>
    <w:rsid w:val="2B8B422C"/>
    <w:rsid w:val="2B8E38FD"/>
    <w:rsid w:val="2BA07D38"/>
    <w:rsid w:val="2BB756FF"/>
    <w:rsid w:val="2BC40957"/>
    <w:rsid w:val="2BCB5DAA"/>
    <w:rsid w:val="2BD65380"/>
    <w:rsid w:val="2BE725D0"/>
    <w:rsid w:val="2BF369B9"/>
    <w:rsid w:val="2BFC0A4A"/>
    <w:rsid w:val="2C094904"/>
    <w:rsid w:val="2C0D6DD8"/>
    <w:rsid w:val="2C0E55A1"/>
    <w:rsid w:val="2C3A7BF6"/>
    <w:rsid w:val="2C425BCE"/>
    <w:rsid w:val="2C44676A"/>
    <w:rsid w:val="2C495C38"/>
    <w:rsid w:val="2C4A080C"/>
    <w:rsid w:val="2C54533B"/>
    <w:rsid w:val="2C591378"/>
    <w:rsid w:val="2C642BA5"/>
    <w:rsid w:val="2C713FEB"/>
    <w:rsid w:val="2C797A76"/>
    <w:rsid w:val="2C8F4862"/>
    <w:rsid w:val="2C9970C8"/>
    <w:rsid w:val="2C9E5AC8"/>
    <w:rsid w:val="2CA2721B"/>
    <w:rsid w:val="2CAC6D87"/>
    <w:rsid w:val="2CB600FC"/>
    <w:rsid w:val="2CB82DD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B40A9"/>
    <w:rsid w:val="2D8703A1"/>
    <w:rsid w:val="2D8A3FA2"/>
    <w:rsid w:val="2D9767DC"/>
    <w:rsid w:val="2D980DDC"/>
    <w:rsid w:val="2D987372"/>
    <w:rsid w:val="2D9D0109"/>
    <w:rsid w:val="2DB072FF"/>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177D27"/>
    <w:rsid w:val="2F2D445E"/>
    <w:rsid w:val="2F4F6FBB"/>
    <w:rsid w:val="2F5D5857"/>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A4357"/>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2B674E"/>
    <w:rsid w:val="313C313D"/>
    <w:rsid w:val="313F6DC6"/>
    <w:rsid w:val="314E236F"/>
    <w:rsid w:val="315A7A1E"/>
    <w:rsid w:val="315E0B07"/>
    <w:rsid w:val="31621F46"/>
    <w:rsid w:val="316E7CA0"/>
    <w:rsid w:val="317206BF"/>
    <w:rsid w:val="317932EA"/>
    <w:rsid w:val="317E5000"/>
    <w:rsid w:val="31875BB4"/>
    <w:rsid w:val="31B718F2"/>
    <w:rsid w:val="31D20051"/>
    <w:rsid w:val="31D51137"/>
    <w:rsid w:val="31E41C97"/>
    <w:rsid w:val="31EF7EE8"/>
    <w:rsid w:val="3201404F"/>
    <w:rsid w:val="320901F5"/>
    <w:rsid w:val="320B7CCB"/>
    <w:rsid w:val="32105DE8"/>
    <w:rsid w:val="3235187E"/>
    <w:rsid w:val="3237186B"/>
    <w:rsid w:val="323B6798"/>
    <w:rsid w:val="32454803"/>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802063"/>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C00736"/>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E14BFE"/>
    <w:rsid w:val="35FF6F3C"/>
    <w:rsid w:val="36075F27"/>
    <w:rsid w:val="360D1C5B"/>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EA73B8"/>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77B09"/>
    <w:rsid w:val="37D97EDE"/>
    <w:rsid w:val="37E76E34"/>
    <w:rsid w:val="380D02B1"/>
    <w:rsid w:val="382B1BDF"/>
    <w:rsid w:val="382E392C"/>
    <w:rsid w:val="38342E90"/>
    <w:rsid w:val="384B7332"/>
    <w:rsid w:val="385056AF"/>
    <w:rsid w:val="386652BF"/>
    <w:rsid w:val="38693DA0"/>
    <w:rsid w:val="386A7142"/>
    <w:rsid w:val="38702BB3"/>
    <w:rsid w:val="38706DCB"/>
    <w:rsid w:val="388E5848"/>
    <w:rsid w:val="38A341A7"/>
    <w:rsid w:val="38BA6810"/>
    <w:rsid w:val="38BD31EE"/>
    <w:rsid w:val="38CB3BDF"/>
    <w:rsid w:val="38D33D29"/>
    <w:rsid w:val="38D41CCF"/>
    <w:rsid w:val="38D62E18"/>
    <w:rsid w:val="38E40A5B"/>
    <w:rsid w:val="38E842BA"/>
    <w:rsid w:val="38F16A28"/>
    <w:rsid w:val="391A3359"/>
    <w:rsid w:val="39285D57"/>
    <w:rsid w:val="392D366B"/>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BF30D9"/>
    <w:rsid w:val="3AC17E3A"/>
    <w:rsid w:val="3ACB5746"/>
    <w:rsid w:val="3ACE209E"/>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315C6"/>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237AF7"/>
    <w:rsid w:val="3E3A04FA"/>
    <w:rsid w:val="3E3D6B96"/>
    <w:rsid w:val="3E441C7D"/>
    <w:rsid w:val="3E46184C"/>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F5AD7"/>
    <w:rsid w:val="3F5E37ED"/>
    <w:rsid w:val="3F643908"/>
    <w:rsid w:val="3F6B75A6"/>
    <w:rsid w:val="3F8C0A49"/>
    <w:rsid w:val="3F8E7DCD"/>
    <w:rsid w:val="3F913853"/>
    <w:rsid w:val="3F9660C3"/>
    <w:rsid w:val="3F9724DD"/>
    <w:rsid w:val="3FA514FA"/>
    <w:rsid w:val="3FA827ED"/>
    <w:rsid w:val="3FB45C58"/>
    <w:rsid w:val="3FC36557"/>
    <w:rsid w:val="3FC956FF"/>
    <w:rsid w:val="3FD13F50"/>
    <w:rsid w:val="3FD24E72"/>
    <w:rsid w:val="3FDC5F31"/>
    <w:rsid w:val="3FE04625"/>
    <w:rsid w:val="3FE86CE8"/>
    <w:rsid w:val="3FFB0F66"/>
    <w:rsid w:val="3FFC05FC"/>
    <w:rsid w:val="40146E6B"/>
    <w:rsid w:val="403052F1"/>
    <w:rsid w:val="40330D29"/>
    <w:rsid w:val="404469FD"/>
    <w:rsid w:val="404A2717"/>
    <w:rsid w:val="404E779F"/>
    <w:rsid w:val="4059090D"/>
    <w:rsid w:val="4065170A"/>
    <w:rsid w:val="406A337A"/>
    <w:rsid w:val="406E5CAB"/>
    <w:rsid w:val="40713C35"/>
    <w:rsid w:val="408376F8"/>
    <w:rsid w:val="40901AD0"/>
    <w:rsid w:val="40A25054"/>
    <w:rsid w:val="40A325E0"/>
    <w:rsid w:val="40B7228C"/>
    <w:rsid w:val="40BD0DA1"/>
    <w:rsid w:val="40EC7D18"/>
    <w:rsid w:val="40ED11A0"/>
    <w:rsid w:val="40F86967"/>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6F79D5"/>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E7E66"/>
    <w:rsid w:val="4332317A"/>
    <w:rsid w:val="433246A0"/>
    <w:rsid w:val="433E162C"/>
    <w:rsid w:val="433F6B54"/>
    <w:rsid w:val="4346543A"/>
    <w:rsid w:val="43533E29"/>
    <w:rsid w:val="435B1259"/>
    <w:rsid w:val="436263D5"/>
    <w:rsid w:val="437556C4"/>
    <w:rsid w:val="437A5D15"/>
    <w:rsid w:val="43874CD4"/>
    <w:rsid w:val="438D061F"/>
    <w:rsid w:val="439B699F"/>
    <w:rsid w:val="43A41ACE"/>
    <w:rsid w:val="43AF2D32"/>
    <w:rsid w:val="43B76E4F"/>
    <w:rsid w:val="43CF0206"/>
    <w:rsid w:val="43D85D6D"/>
    <w:rsid w:val="43DF6B45"/>
    <w:rsid w:val="43EC6F1F"/>
    <w:rsid w:val="43FE44BA"/>
    <w:rsid w:val="440D5045"/>
    <w:rsid w:val="440F6C97"/>
    <w:rsid w:val="44171125"/>
    <w:rsid w:val="44205D38"/>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4F69C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00166"/>
    <w:rsid w:val="46894B18"/>
    <w:rsid w:val="469448C6"/>
    <w:rsid w:val="46A85D08"/>
    <w:rsid w:val="46AB0067"/>
    <w:rsid w:val="46B80AF8"/>
    <w:rsid w:val="46D37F0B"/>
    <w:rsid w:val="46D71533"/>
    <w:rsid w:val="46E53335"/>
    <w:rsid w:val="47155D89"/>
    <w:rsid w:val="473069AF"/>
    <w:rsid w:val="474A0EAF"/>
    <w:rsid w:val="474E50BE"/>
    <w:rsid w:val="47696F9C"/>
    <w:rsid w:val="47714F1F"/>
    <w:rsid w:val="47725A17"/>
    <w:rsid w:val="477D3243"/>
    <w:rsid w:val="478821A1"/>
    <w:rsid w:val="479128A9"/>
    <w:rsid w:val="47975EDC"/>
    <w:rsid w:val="47983B19"/>
    <w:rsid w:val="47A3609D"/>
    <w:rsid w:val="47C01792"/>
    <w:rsid w:val="47C57A48"/>
    <w:rsid w:val="47D511B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00273"/>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03A4E"/>
    <w:rsid w:val="4AA341CC"/>
    <w:rsid w:val="4AA8314E"/>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44964"/>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DB58B2"/>
    <w:rsid w:val="4EE925CE"/>
    <w:rsid w:val="4EEB1A94"/>
    <w:rsid w:val="4EEB74E5"/>
    <w:rsid w:val="4EEF2E30"/>
    <w:rsid w:val="4EF2122F"/>
    <w:rsid w:val="4EF24828"/>
    <w:rsid w:val="4EFE7F59"/>
    <w:rsid w:val="4F285975"/>
    <w:rsid w:val="4F2A7BF3"/>
    <w:rsid w:val="4F2E2624"/>
    <w:rsid w:val="4F4E1077"/>
    <w:rsid w:val="4F546156"/>
    <w:rsid w:val="4F5D1434"/>
    <w:rsid w:val="4F844A99"/>
    <w:rsid w:val="4F94662C"/>
    <w:rsid w:val="4FB00163"/>
    <w:rsid w:val="4FB208E7"/>
    <w:rsid w:val="4FCF69F3"/>
    <w:rsid w:val="4FE30332"/>
    <w:rsid w:val="4FE70BB4"/>
    <w:rsid w:val="4FE73C01"/>
    <w:rsid w:val="4FE87C31"/>
    <w:rsid w:val="4FEE342A"/>
    <w:rsid w:val="4FF14DCF"/>
    <w:rsid w:val="500815B6"/>
    <w:rsid w:val="500B39BC"/>
    <w:rsid w:val="502173F8"/>
    <w:rsid w:val="5022123F"/>
    <w:rsid w:val="5025703C"/>
    <w:rsid w:val="50284F86"/>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2E3411"/>
    <w:rsid w:val="51471753"/>
    <w:rsid w:val="514E4912"/>
    <w:rsid w:val="515400FF"/>
    <w:rsid w:val="51547D82"/>
    <w:rsid w:val="515D735D"/>
    <w:rsid w:val="51781A83"/>
    <w:rsid w:val="51867298"/>
    <w:rsid w:val="51894D69"/>
    <w:rsid w:val="518D21E1"/>
    <w:rsid w:val="51930297"/>
    <w:rsid w:val="51953936"/>
    <w:rsid w:val="519E116A"/>
    <w:rsid w:val="51A2793A"/>
    <w:rsid w:val="51A5034B"/>
    <w:rsid w:val="51BA0CB7"/>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CC1289"/>
    <w:rsid w:val="53D6247A"/>
    <w:rsid w:val="53DB3477"/>
    <w:rsid w:val="53DE00FF"/>
    <w:rsid w:val="53E77CBF"/>
    <w:rsid w:val="53FE7128"/>
    <w:rsid w:val="540F3D40"/>
    <w:rsid w:val="54201800"/>
    <w:rsid w:val="54247F22"/>
    <w:rsid w:val="542B4430"/>
    <w:rsid w:val="542C29CD"/>
    <w:rsid w:val="542F1551"/>
    <w:rsid w:val="54381756"/>
    <w:rsid w:val="545750B7"/>
    <w:rsid w:val="545A1EBF"/>
    <w:rsid w:val="54655B0D"/>
    <w:rsid w:val="54727478"/>
    <w:rsid w:val="54B06F11"/>
    <w:rsid w:val="54B56DF4"/>
    <w:rsid w:val="54B93943"/>
    <w:rsid w:val="54BE5578"/>
    <w:rsid w:val="54BF52B5"/>
    <w:rsid w:val="54CA1A63"/>
    <w:rsid w:val="54CF2D6E"/>
    <w:rsid w:val="54D05780"/>
    <w:rsid w:val="54D202CA"/>
    <w:rsid w:val="54D54E59"/>
    <w:rsid w:val="54DD41DB"/>
    <w:rsid w:val="54ED3D78"/>
    <w:rsid w:val="54F52BA3"/>
    <w:rsid w:val="54F54E04"/>
    <w:rsid w:val="550B4121"/>
    <w:rsid w:val="550D5CFC"/>
    <w:rsid w:val="550F3357"/>
    <w:rsid w:val="55126CC5"/>
    <w:rsid w:val="55197997"/>
    <w:rsid w:val="551B7F0A"/>
    <w:rsid w:val="5523043D"/>
    <w:rsid w:val="552A6B56"/>
    <w:rsid w:val="5532385A"/>
    <w:rsid w:val="55381D42"/>
    <w:rsid w:val="553C58B1"/>
    <w:rsid w:val="55401B14"/>
    <w:rsid w:val="554748F2"/>
    <w:rsid w:val="554D414C"/>
    <w:rsid w:val="554E7279"/>
    <w:rsid w:val="55594FFB"/>
    <w:rsid w:val="55637CEB"/>
    <w:rsid w:val="55677DDA"/>
    <w:rsid w:val="55757FB9"/>
    <w:rsid w:val="5582450A"/>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84ED9"/>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5793D"/>
    <w:rsid w:val="56E84A97"/>
    <w:rsid w:val="56FB2A68"/>
    <w:rsid w:val="57011F3E"/>
    <w:rsid w:val="5705646B"/>
    <w:rsid w:val="57060649"/>
    <w:rsid w:val="572657E3"/>
    <w:rsid w:val="5732705F"/>
    <w:rsid w:val="57351D6F"/>
    <w:rsid w:val="57482CC2"/>
    <w:rsid w:val="57513BAF"/>
    <w:rsid w:val="5752012F"/>
    <w:rsid w:val="576476C1"/>
    <w:rsid w:val="57770501"/>
    <w:rsid w:val="577B3337"/>
    <w:rsid w:val="577D4F28"/>
    <w:rsid w:val="57A33734"/>
    <w:rsid w:val="57AB6ADD"/>
    <w:rsid w:val="57B7178E"/>
    <w:rsid w:val="57B71EB5"/>
    <w:rsid w:val="57B723B5"/>
    <w:rsid w:val="57B76EED"/>
    <w:rsid w:val="57BD72A7"/>
    <w:rsid w:val="57BE5838"/>
    <w:rsid w:val="57BE5B51"/>
    <w:rsid w:val="57D82354"/>
    <w:rsid w:val="57FC07D9"/>
    <w:rsid w:val="57FF6992"/>
    <w:rsid w:val="580F1B21"/>
    <w:rsid w:val="581B7E79"/>
    <w:rsid w:val="583D4C48"/>
    <w:rsid w:val="58500F22"/>
    <w:rsid w:val="58575C9E"/>
    <w:rsid w:val="58587379"/>
    <w:rsid w:val="586D57A3"/>
    <w:rsid w:val="587917A0"/>
    <w:rsid w:val="587A4288"/>
    <w:rsid w:val="5880052B"/>
    <w:rsid w:val="58833E96"/>
    <w:rsid w:val="58AD27D9"/>
    <w:rsid w:val="58B169A2"/>
    <w:rsid w:val="58B9636C"/>
    <w:rsid w:val="58C37133"/>
    <w:rsid w:val="58C93046"/>
    <w:rsid w:val="58D36BCB"/>
    <w:rsid w:val="58E00BA4"/>
    <w:rsid w:val="58E6349C"/>
    <w:rsid w:val="58EF63EE"/>
    <w:rsid w:val="58F65D04"/>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211C2"/>
    <w:rsid w:val="59F40864"/>
    <w:rsid w:val="59F70BAF"/>
    <w:rsid w:val="5A0D5C90"/>
    <w:rsid w:val="5A0F4AFB"/>
    <w:rsid w:val="5A297D0D"/>
    <w:rsid w:val="5A3B166C"/>
    <w:rsid w:val="5A3C0F08"/>
    <w:rsid w:val="5A3E5B83"/>
    <w:rsid w:val="5A54407C"/>
    <w:rsid w:val="5A5663A3"/>
    <w:rsid w:val="5A571746"/>
    <w:rsid w:val="5A6253E3"/>
    <w:rsid w:val="5A680E5C"/>
    <w:rsid w:val="5A7D10B2"/>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46A7A"/>
    <w:rsid w:val="5D28584C"/>
    <w:rsid w:val="5D2F4802"/>
    <w:rsid w:val="5D3444E6"/>
    <w:rsid w:val="5D3F0BDF"/>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151BD"/>
    <w:rsid w:val="5E237029"/>
    <w:rsid w:val="5E3A3BD1"/>
    <w:rsid w:val="5E4F1C2F"/>
    <w:rsid w:val="5E5203B8"/>
    <w:rsid w:val="5E584B02"/>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92431"/>
    <w:rsid w:val="5F8F0B9E"/>
    <w:rsid w:val="5F8F267A"/>
    <w:rsid w:val="5FAA5E0A"/>
    <w:rsid w:val="5FB7185B"/>
    <w:rsid w:val="5FB94C48"/>
    <w:rsid w:val="5FC9714B"/>
    <w:rsid w:val="5FD74F41"/>
    <w:rsid w:val="5FDE327E"/>
    <w:rsid w:val="5FF37587"/>
    <w:rsid w:val="5FFE57B7"/>
    <w:rsid w:val="6003478C"/>
    <w:rsid w:val="60060CD5"/>
    <w:rsid w:val="60085AA3"/>
    <w:rsid w:val="600E362B"/>
    <w:rsid w:val="60143AC3"/>
    <w:rsid w:val="60183392"/>
    <w:rsid w:val="601A4CB1"/>
    <w:rsid w:val="601B56CB"/>
    <w:rsid w:val="602C0D1F"/>
    <w:rsid w:val="602C236D"/>
    <w:rsid w:val="603967D7"/>
    <w:rsid w:val="603D3325"/>
    <w:rsid w:val="6040254C"/>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436179"/>
    <w:rsid w:val="63474991"/>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1A59BD"/>
    <w:rsid w:val="642265C6"/>
    <w:rsid w:val="64264A79"/>
    <w:rsid w:val="64304E58"/>
    <w:rsid w:val="64311867"/>
    <w:rsid w:val="64391ED3"/>
    <w:rsid w:val="6445632E"/>
    <w:rsid w:val="64501C8A"/>
    <w:rsid w:val="64742B63"/>
    <w:rsid w:val="647E661E"/>
    <w:rsid w:val="648939AA"/>
    <w:rsid w:val="648C635C"/>
    <w:rsid w:val="649B1AC2"/>
    <w:rsid w:val="64A146DF"/>
    <w:rsid w:val="64A7467B"/>
    <w:rsid w:val="64B53322"/>
    <w:rsid w:val="64C61AF8"/>
    <w:rsid w:val="64C86505"/>
    <w:rsid w:val="64F814B5"/>
    <w:rsid w:val="64FE700F"/>
    <w:rsid w:val="6500327F"/>
    <w:rsid w:val="6506609B"/>
    <w:rsid w:val="65083216"/>
    <w:rsid w:val="65460728"/>
    <w:rsid w:val="65822810"/>
    <w:rsid w:val="65870C45"/>
    <w:rsid w:val="659705FF"/>
    <w:rsid w:val="65AA6346"/>
    <w:rsid w:val="65B56C47"/>
    <w:rsid w:val="65B8262E"/>
    <w:rsid w:val="65BC15EE"/>
    <w:rsid w:val="65C8310B"/>
    <w:rsid w:val="65D23D59"/>
    <w:rsid w:val="65D4773F"/>
    <w:rsid w:val="65DC5939"/>
    <w:rsid w:val="65DC7985"/>
    <w:rsid w:val="65F14641"/>
    <w:rsid w:val="65F5655C"/>
    <w:rsid w:val="65F64F18"/>
    <w:rsid w:val="65F7091E"/>
    <w:rsid w:val="65FF0498"/>
    <w:rsid w:val="66052F43"/>
    <w:rsid w:val="6609487E"/>
    <w:rsid w:val="661C7C9A"/>
    <w:rsid w:val="661D25CE"/>
    <w:rsid w:val="66206CF2"/>
    <w:rsid w:val="66265846"/>
    <w:rsid w:val="66287C9C"/>
    <w:rsid w:val="662E4097"/>
    <w:rsid w:val="663815B9"/>
    <w:rsid w:val="664805B8"/>
    <w:rsid w:val="665572E9"/>
    <w:rsid w:val="665A3D63"/>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D2F4B"/>
    <w:rsid w:val="677A266A"/>
    <w:rsid w:val="677C1A81"/>
    <w:rsid w:val="677E7198"/>
    <w:rsid w:val="678A426A"/>
    <w:rsid w:val="67914BE1"/>
    <w:rsid w:val="67933FD5"/>
    <w:rsid w:val="67A01F16"/>
    <w:rsid w:val="67A96661"/>
    <w:rsid w:val="67B163D1"/>
    <w:rsid w:val="67D7447D"/>
    <w:rsid w:val="67F45538"/>
    <w:rsid w:val="680239EB"/>
    <w:rsid w:val="68034597"/>
    <w:rsid w:val="680722DA"/>
    <w:rsid w:val="682211D1"/>
    <w:rsid w:val="6823620D"/>
    <w:rsid w:val="6836510C"/>
    <w:rsid w:val="685C6395"/>
    <w:rsid w:val="686318DD"/>
    <w:rsid w:val="68635145"/>
    <w:rsid w:val="687F607E"/>
    <w:rsid w:val="689A41FB"/>
    <w:rsid w:val="689E57F0"/>
    <w:rsid w:val="68A34C5C"/>
    <w:rsid w:val="68B85B1E"/>
    <w:rsid w:val="68CB313E"/>
    <w:rsid w:val="68E24981"/>
    <w:rsid w:val="69123F86"/>
    <w:rsid w:val="691C1D81"/>
    <w:rsid w:val="691C3525"/>
    <w:rsid w:val="69216128"/>
    <w:rsid w:val="69280874"/>
    <w:rsid w:val="695D6B21"/>
    <w:rsid w:val="69611EE7"/>
    <w:rsid w:val="696C708E"/>
    <w:rsid w:val="696F4D5D"/>
    <w:rsid w:val="69806012"/>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DF27ED"/>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8D4EE5"/>
    <w:rsid w:val="6B90781F"/>
    <w:rsid w:val="6BA6437F"/>
    <w:rsid w:val="6BA6663C"/>
    <w:rsid w:val="6BA9194F"/>
    <w:rsid w:val="6BE727F5"/>
    <w:rsid w:val="6BEC7AFC"/>
    <w:rsid w:val="6C0858B3"/>
    <w:rsid w:val="6C240DF3"/>
    <w:rsid w:val="6C267BF0"/>
    <w:rsid w:val="6C3E2FAF"/>
    <w:rsid w:val="6C45610F"/>
    <w:rsid w:val="6C59472D"/>
    <w:rsid w:val="6C5A4564"/>
    <w:rsid w:val="6C603744"/>
    <w:rsid w:val="6C615AB5"/>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A90243"/>
    <w:rsid w:val="6DBE7F27"/>
    <w:rsid w:val="6DCD0146"/>
    <w:rsid w:val="6DD05277"/>
    <w:rsid w:val="6DDF6C04"/>
    <w:rsid w:val="6DF43BD4"/>
    <w:rsid w:val="6E0E1FAB"/>
    <w:rsid w:val="6E1130F0"/>
    <w:rsid w:val="6E19212E"/>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E40C1"/>
    <w:rsid w:val="6F3F40F9"/>
    <w:rsid w:val="6F5E0205"/>
    <w:rsid w:val="6F6F14E1"/>
    <w:rsid w:val="6FA629D4"/>
    <w:rsid w:val="6FA75ADB"/>
    <w:rsid w:val="6FB77ED4"/>
    <w:rsid w:val="6FBD4D2F"/>
    <w:rsid w:val="6FBF4710"/>
    <w:rsid w:val="6FC9052A"/>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115386"/>
    <w:rsid w:val="71151975"/>
    <w:rsid w:val="71336A65"/>
    <w:rsid w:val="71545B37"/>
    <w:rsid w:val="71570E43"/>
    <w:rsid w:val="71573E01"/>
    <w:rsid w:val="715A268F"/>
    <w:rsid w:val="71702748"/>
    <w:rsid w:val="717C4AD2"/>
    <w:rsid w:val="71867894"/>
    <w:rsid w:val="719F7A78"/>
    <w:rsid w:val="71B623F6"/>
    <w:rsid w:val="71C7179F"/>
    <w:rsid w:val="71C7540C"/>
    <w:rsid w:val="71D438FF"/>
    <w:rsid w:val="71F5169E"/>
    <w:rsid w:val="71F64A63"/>
    <w:rsid w:val="71F870B8"/>
    <w:rsid w:val="72021233"/>
    <w:rsid w:val="720B2A1D"/>
    <w:rsid w:val="721A655C"/>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5E478B"/>
    <w:rsid w:val="746B732F"/>
    <w:rsid w:val="746E18CB"/>
    <w:rsid w:val="746F3904"/>
    <w:rsid w:val="748D52FA"/>
    <w:rsid w:val="74986414"/>
    <w:rsid w:val="74993216"/>
    <w:rsid w:val="74B44784"/>
    <w:rsid w:val="74B808BF"/>
    <w:rsid w:val="74BA4063"/>
    <w:rsid w:val="74C03187"/>
    <w:rsid w:val="74E4756E"/>
    <w:rsid w:val="74EA0E1A"/>
    <w:rsid w:val="74ED19FF"/>
    <w:rsid w:val="74F4641C"/>
    <w:rsid w:val="75084E8F"/>
    <w:rsid w:val="7509261E"/>
    <w:rsid w:val="75202656"/>
    <w:rsid w:val="752231CE"/>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331008"/>
    <w:rsid w:val="76362C7D"/>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391CEC"/>
    <w:rsid w:val="77451578"/>
    <w:rsid w:val="77576666"/>
    <w:rsid w:val="77692EA3"/>
    <w:rsid w:val="77825248"/>
    <w:rsid w:val="7785098B"/>
    <w:rsid w:val="77870D91"/>
    <w:rsid w:val="778A3229"/>
    <w:rsid w:val="779258CC"/>
    <w:rsid w:val="7794068F"/>
    <w:rsid w:val="779A096B"/>
    <w:rsid w:val="779B52FF"/>
    <w:rsid w:val="779F3DC0"/>
    <w:rsid w:val="77A00E75"/>
    <w:rsid w:val="77A60F6E"/>
    <w:rsid w:val="77A80D17"/>
    <w:rsid w:val="77B841F3"/>
    <w:rsid w:val="77C078B1"/>
    <w:rsid w:val="77D55D8E"/>
    <w:rsid w:val="77E66E3C"/>
    <w:rsid w:val="77F32FC3"/>
    <w:rsid w:val="77F3789A"/>
    <w:rsid w:val="77F7393B"/>
    <w:rsid w:val="780326B9"/>
    <w:rsid w:val="780332E5"/>
    <w:rsid w:val="780D3FDA"/>
    <w:rsid w:val="7833711D"/>
    <w:rsid w:val="78460D63"/>
    <w:rsid w:val="78497C2E"/>
    <w:rsid w:val="78502D35"/>
    <w:rsid w:val="7854087B"/>
    <w:rsid w:val="786A4053"/>
    <w:rsid w:val="78782A0D"/>
    <w:rsid w:val="78785A2F"/>
    <w:rsid w:val="787B5060"/>
    <w:rsid w:val="788720E7"/>
    <w:rsid w:val="78A70442"/>
    <w:rsid w:val="78A90B04"/>
    <w:rsid w:val="78B006A6"/>
    <w:rsid w:val="78C25029"/>
    <w:rsid w:val="78C53485"/>
    <w:rsid w:val="78C6693F"/>
    <w:rsid w:val="78C76A01"/>
    <w:rsid w:val="78EC45D8"/>
    <w:rsid w:val="78EC6DF0"/>
    <w:rsid w:val="78F5335B"/>
    <w:rsid w:val="79114473"/>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30377"/>
    <w:rsid w:val="7A36322F"/>
    <w:rsid w:val="7A3C2BAA"/>
    <w:rsid w:val="7A3D2527"/>
    <w:rsid w:val="7A4C2D60"/>
    <w:rsid w:val="7A5C4815"/>
    <w:rsid w:val="7A5E0869"/>
    <w:rsid w:val="7A6E4BF5"/>
    <w:rsid w:val="7A7A2665"/>
    <w:rsid w:val="7A851D5D"/>
    <w:rsid w:val="7A8A2267"/>
    <w:rsid w:val="7A8C74E9"/>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D46A45"/>
    <w:rsid w:val="7BE724BF"/>
    <w:rsid w:val="7BEC2711"/>
    <w:rsid w:val="7BF55850"/>
    <w:rsid w:val="7C1054B7"/>
    <w:rsid w:val="7C26369C"/>
    <w:rsid w:val="7C2A465C"/>
    <w:rsid w:val="7C305879"/>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530D3"/>
    <w:rsid w:val="7D5B27C9"/>
    <w:rsid w:val="7D62117D"/>
    <w:rsid w:val="7D6B7F02"/>
    <w:rsid w:val="7D834A16"/>
    <w:rsid w:val="7D8E28D1"/>
    <w:rsid w:val="7D9D0A97"/>
    <w:rsid w:val="7D9D438F"/>
    <w:rsid w:val="7DA514D2"/>
    <w:rsid w:val="7DBB5D06"/>
    <w:rsid w:val="7DCD1A27"/>
    <w:rsid w:val="7DCD4EB5"/>
    <w:rsid w:val="7E090313"/>
    <w:rsid w:val="7E3E0FEC"/>
    <w:rsid w:val="7E3E1EF2"/>
    <w:rsid w:val="7E4247D7"/>
    <w:rsid w:val="7E517B0C"/>
    <w:rsid w:val="7E566EA2"/>
    <w:rsid w:val="7E5C1ABA"/>
    <w:rsid w:val="7E61281D"/>
    <w:rsid w:val="7E622778"/>
    <w:rsid w:val="7E756346"/>
    <w:rsid w:val="7E85174A"/>
    <w:rsid w:val="7E8B68B9"/>
    <w:rsid w:val="7EA727B1"/>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33FA5"/>
    <w:rsid w:val="7F6B2248"/>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11</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2023-09-27T09:15:44Z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DD5AD80304C14C02B8F0FDE8B1994F97</vt:lpwstr>
  </property>
</Properties>
</file>